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JS13.026398 vom 22. Dezember 2014</w:t>
      </w:r>
    </w:p>
    <w:p>
      <w:r>
        <w:t>VD Tribunal cantonal, 2014-12-22, FR</w:t>
      </w:r>
    </w:p>
    <w:p>
      <w:r>
        <w:rPr>
          <w:b/>
        </w:rPr>
        <w:t xml:space="preserve">Quelle: </w:t>
      </w:r>
      <w:r>
        <w:t>https://mcp.opencaselaw.ch/entscheid/vd_gerichte_JS13.026398</w:t>
      </w:r>
    </w:p>
    <w:p>
      <w:r>
        <w:t>FR: VD_GERICHTE JS13.026398 du 22 décembre 2014</w:t>
      </w:r>
    </w:p>
    <w:p>
      <w:r>
        <w:t>IT: VD_GERICHTE JS13.026398 del 22 dicembre 2014</w:t>
      </w:r>
    </w:p>
    <w:p>
      <w:pPr>
        <w:pStyle w:val="Heading2"/>
      </w:pPr>
      <w:r>
        <w:t>Erwägungen</w:t>
      </w:r>
    </w:p>
    <w:p>
      <w:r>
        <w:rPr>
          <w:b/>
        </w:rPr>
        <w:t>E. 3</w:t>
      </w:r>
    </w:p>
    <w:p>
      <w:r>
        <w:t>a) L’appelant soutient encore qu’un revenu hypothétique à 50% devrait être imputé à l’intimée, considérant qu’elle est pleinement en mesure de travailler, mais qu’elle y a renoncé volontairement d’entente avec son nouveau compagnon.</w:t>
      </w:r>
    </w:p>
    <w:p>
      <w:r>
        <w:t>- 15 - b) Le principe et le montant de la contribution d'entretien due selon l'art. 176 al. 1 ch. 1 CC se déterminent en fonction des facultés économiques et des besoins respectifs des époux (ATF 121 I 97 c. 3b; ATF 118 II 376 c. 20b et les références citées). Le juge doit partir de la convention, expresse ou tacite, que les époux ont conclue au sujet de la répartition des tâches et des ressources entre eux (art. 163 al. 2 CC), l'art. 163 CC demeurant en effet la cause de l'obligation d'entretien réciproque des époux (ATF 137 III 385 c. 3.1; ATF 130 III 537 c. 3.2).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TF 5A_710/2009 c. 4.1, non publié aux ATF 136 III 257). L'obligation d'entretien trouve sa limite dans la capacité contributive du débirentier, en ce sens que son minimum vital selon le droit des poursuites doit en principe être préservé (ATF 127 III 68 c. 2c; ATF 126 III 353 c. 1a/aa; ATF 123 III 1 c. 3b/bb et c. 5; ATF 121 I 367 c. 2). c) Lorsqu’il fixe la contribution d’entretien, le juge doit avant tout considérer les revenus effectifs des époux, mais aussi ce que ces derniers pourraient gagner s'ils faisaient preuve de bonne volonté ou fournissaient l'effort que l'on peut raisonnablement exiger d'eux (ATF 127 III 136 c. 2a et les références citées). Selon les circonstances, l’époux demandeur pourra être ainsi contraint d'exercer une activité lucrative ou d'augmenter son taux de travail (ATF 130 III 537 c. 3.2; ATF 128 III 65 c.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w:t>
      </w:r>
    </w:p>
    <w:p>
      <w:r>
        <w:t>- 16 -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 4.3 et les références citées).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consid. 3c). d) En l’occurrence, on relèvera que l’intimée ne travaillait pas durant la vie commune des parties et notamment à la naissance de [...], contrairement à ce que semble soutenir l’appelant qui allègue que l’intimée aurait renoncé volontairement à travailler d’entente avec son nouveau compagnon à la naissance de son deuxième enfant. Ainsi, la répartition des tâches pendant la vie la commune des parties était telle que l’appelant ne saurait exiger à présent de l’intimée qu’elle exerce une activité lucrative, même à mi-temps. Du reste, conformément à la jurisprudence précitée, une telle exigence vis-à-vis de l’intimée n’est pas admissible, dès lors qu’elle a la garde de deux enfants en bas âge. Partant, le grief de l’appelant doit être rejeté.</w:t>
      </w:r>
    </w:p>
    <w:p>
      <w:r>
        <w:rPr>
          <w:b/>
        </w:rPr>
        <w:t>E. 4</w:t>
      </w:r>
    </w:p>
    <w:p>
      <w:r>
        <w:t>L’appelant réclame enfin la correction de divers postes de charges retenus par le premier juge dans le calcul des minima vitaux des deux parties. Cela concerne en particulier les frais de garderie, les frais de</w:t>
      </w:r>
    </w:p>
    <w:p>
      <w:r>
        <w:t>- 17 - transport, les frais liés à l’assurance perte de gain ainsi que ceux liés à l’amortissement du domicile conjugal et à l’impôt y relatif. On doit cependant constater que le montant global que l’appelant souhaite voir ajouté à ses charges est nettement inférieur à la moitié des frais de logement, moitié dont le premier juge a omis de considérer qu’elle devait être assumée par sa compagne. Il ne s’avère dès lors pas nécessaire de déterminer si cette correction se justifie.</w:t>
      </w:r>
    </w:p>
    <w:p>
      <w:r>
        <w:rPr>
          <w:b/>
        </w:rPr>
        <w:t>E. 5</w:t>
      </w:r>
    </w:p>
    <w:p>
      <w:r>
        <w:t>Au vu de ce qui précède, l’appel doit être rejeté et le prononcé entrepris confirmé. Les frais judiciaires de deuxième instance, arrêtés à 600 fr. (art. 65 al. 2 TFJC [tarif des frais judiciaires civils du 28 septembre 2010 ; RSV 270.11.5), seront mis à la charge de l’appelant, qui succombe (art. 106 al. 1 CPC). L’intimée s’étant déterminée sur l’appel, elle a droit à des dépens de deuxième instance, arrêtés à 1'500 fr. (art. 3 al. 1 et 4 et 9 al. 2 TDC [tarif des dépens en matière civile du 23 novembre 2010 ; RSV 270.11.6). Par ces motifs, le Juge délégué de la Cour d’appel civile du Tribunal cantonal, statuant à huis clos, prononce : I. L’appel est rejeté. II. Le prononcé est confirmé.</w:t>
      </w:r>
    </w:p>
    <w:p>
      <w:r>
        <w:t>- 18 - III. Les frais judiciaires de deuxième instance, arrêté à 600 fr. (six cents francs), sont mis à la charge de l’appelant R.________. IV. L’appelant R.________ doit verser à l’intimée X.________ la somme de 1'500 fr. (mille cinq cents francs) à titre de dépens de deuxième instance. V. L’arrêt motivé est exécutoire. Le juge délégué : La greffière : Du 6 janvier 2015 Le dispositif de l'arrêt qui précède est communiqué par écrit aux intéressés. La greffière : Du L'arrêt qui précède, dont la rédaction a été approuvée à huis clos, est notifié en expédition complète, par l'envoi de photocopies à : - Me Micaela Vaerini (pour R.________), - Me Matthieu Genillod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