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JS13.021686 vom 27. November 2015</w:t>
      </w:r>
    </w:p>
    <w:p>
      <w:r>
        <w:t>VD Tribunal cantonal, 2015-11-27, FR</w:t>
      </w:r>
    </w:p>
    <w:p>
      <w:r>
        <w:rPr>
          <w:b/>
        </w:rPr>
        <w:t xml:space="preserve">Quelle: </w:t>
      </w:r>
      <w:r>
        <w:t>https://mcp.opencaselaw.ch/entscheid/vd_gerichte_JS13.021686</w:t>
      </w:r>
    </w:p>
    <w:p>
      <w:r>
        <w:t>FR: VD_GERICHTE JS13.021686 du 27 novembre 2015</w:t>
      </w:r>
    </w:p>
    <w:p>
      <w:r>
        <w:t>IT: VD_GERICHTE JS13.021686 del 27 novembre 2015</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w:t>
      </w:r>
    </w:p>
    <w:p>
      <w:r>
        <w:t>- 9 -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w:t>
      </w:r>
    </w:p>
    <w:p>
      <w:r>
        <w:rPr>
          <w:b/>
        </w:rPr>
        <w:t>E. 3</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(TF5A_445/2014 du 28 août 2014 consid. 2.1 ; TF 5A_739/2012 du 17 mai 2013 consid. 9.2.2 ; TF 4A_334/2012 du 16 octobre 2012 consid. 3.1). La maxime inquisitoire, applicable lorsque le juge est saisi de questions relatives aux enfants dans les affaires de droit de la famille (TF 5A_891/2013 du 12 mars 2014 consid. 5.1), ne dit pas jusqu'à quel</w:t>
      </w:r>
    </w:p>
    <w:p>
      <w:r>
        <w:t>- 10 -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consid. 4.2, SJ 2015 I p. 17 et les réf.). Une solution plus souple peut être envisagée lorsque la cause est en outre régie par la maxime d'office, par exemple sur la situation des enfants mineurs en droit matrimonial (Tappy, Les voies de droit du nouveau Code procédure civile, JdT 2010 III 139), à tout le moins lorsque le juge de première instance a violé la maxime inquisitoire illimitée (JdT 2011 III 43 et réf. citées). b) En l'espèce, les pièces produites par l'appelant sont recevables, dès lors que la situation concerne également un enfant mineur.</w:t>
      </w:r>
    </w:p>
    <w:p>
      <w:r>
        <w:rPr>
          <w:b/>
        </w:rPr>
        <w:t>E. 4</w:t>
      </w:r>
    </w:p>
    <w:p>
      <w:r>
        <w:t>a) L'appelant soutient qu'il doit en réalité verser à son épouse une pension mensuelle de 9'000 fr., c'est-à-dire 3'000 fr. selon la convention signée le 20 juin 2013 et 6'000 fr. correspondant à la valeur locative de l'ancien domicile conjugal. Il allègue que, sur les onze logements qu'il possède, deux sont vacants et deux sont occupés par son épouse et lui, de sorte que ses revenus locatifs actuels, après déduction de la dette hypothécaire, de l'amortissement et des frais d'entretien, ne génèrent plus qu'un bénéfice mensuel net de 4'725 francs. Il ne pourrait donc plus verser un quelconque montant pour l'entretien de sa famille. b) Une fois que des mesures protectrices de l'union conjugale ou des mesures provisionnelles dans la procédure de divorce ont été ordonnées, elles ne peuvent être modifiées qu'aux conditions de l'art. 179 CC (Code civil suisse du 10 décembre 1907 ; RS 210), applicable directement pour les premières et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w:t>
      </w:r>
    </w:p>
    <w:p>
      <w:r>
        <w:t>- 11 - 5A_562/2013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w:t>
      </w:r>
    </w:p>
    <w:p>
      <w:r>
        <w:rPr>
          <w:b/>
        </w:rPr>
        <w:t>E. 5</w:t>
      </w:r>
    </w:p>
    <w:p>
      <w:r>
        <w:t>Il s'ensuit que l'appel, manifestement infondé, doit être rejeté selon le mode procédural de l'art. 312 al. 1 CPC et l'ordonnance entreprise confirmée. Les frais judiciaires de deuxième instance, arrêtés à 600 fr. (art. 65 al. 2 TFJC [tarif des frais judiciaires en matière civile du 28 septembre 2010 ; RSV 270.11.5]), seront mis à la charge de l'appelant, qui succombe (art. 106 al. 1 CPC). Il ne sera pas alloué de dépens de deuxième instance, dès lors que l'intimée n'a pas été invitée à se déterminer. Par ces motifs, l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A.H.________. IV. Il n'est pas alloué de dépens de deuxième instance.</w:t>
      </w:r>
    </w:p>
    <w:p>
      <w:r>
        <w:t>- 15 - V. L'arrêt motivé est exécutoire. Le juge délégué : La greffière : Du 27 novembre 2015 Le dispositif de l'arrêt qui précède est communiqué par écrit aux intéressés. La greffière : Du L'arrêt qui précède, dont la rédaction a été approuvée à huis clos, est notifié en expédition complète, par l'envoi de photocopies, à : - Me Véronique Fontana (pour A.H.________) - Me Marcel Heider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