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JS13.020285 vom 14. Dezember 2016</w:t>
      </w:r>
    </w:p>
    <w:p>
      <w:r>
        <w:t>VD Tribunal cantonal, 2016-12-14, FR</w:t>
      </w:r>
    </w:p>
    <w:p>
      <w:r>
        <w:rPr>
          <w:b/>
        </w:rPr>
        <w:t xml:space="preserve">Quelle: </w:t>
      </w:r>
      <w:r>
        <w:t>https://mcp.opencaselaw.ch/entscheid/vd_gerichte_JS13.020285</w:t>
      </w:r>
    </w:p>
    <w:p>
      <w:r>
        <w:t>FR: VD_GERICHTE JS13.020285 du 14 décembre 2016</w:t>
      </w:r>
    </w:p>
    <w:p>
      <w:r>
        <w:t>IT: VD_GERICHTE JS13.020285 del 14 dicembre 2016</w:t>
      </w:r>
    </w:p>
    <w:p>
      <w:pPr>
        <w:pStyle w:val="Heading2"/>
      </w:pPr>
      <w:r>
        <w:t>Erwägungen</w:t>
      </w:r>
    </w:p>
    <w:p>
      <w:r>
        <w:rPr>
          <w:b/>
        </w:rPr>
        <w:t>E. 28</w:t>
      </w:r>
    </w:p>
    <w:p>
      <w:r>
        <w:t>septembre 2010, RSV 270.11.5), seront arrêtés à 400 fr. (art. 65 al. 2 TFJC) et mis à la charge de l'appelante. Il n'y a pas lieu à l'allocation de dépens de deuxième instance. Par ces motifs, le Juge délégué de la Cour d'appel civile prononce : I. La convention conclue par T.________ et Q.________ lors de l'audience du 14 décembre 2016 est ratifiée pour valoir arrêt sur appel de mesures protectrices de l'union conjugale, sa teneur étant la suivante : « A. Parties conviennent de modifier le prononcé de mesures protectrices de l'union conjugale du 28 octobre 2016 aux chiffres I, IV, V et VI de son dispositif, comme suit :</w:t>
      </w:r>
    </w:p>
    <w:p>
      <w:r>
        <w:t>- 4 - « I. La garde sur l'enfant D.________, né le [...] 1999, est exercée conjointement par ses parents, selon les modalités suivantes : - D.________ sera auprès de son père : chaque semaine, du dimanche soir au mardi matin, du mercredi après l'école au jeudi matin ; deux week- ends par mois, du vendredi soir au dimanche soir, et durant la moitié des vacances scolaires et des jours fériés. - D.________ sera auprès de sa mère : chaque semaine, du mardi après l'école au mercredi matin, du jeudi après l'école au vendredi matin ; deux week-ends par mois, du vendredi soir au dimanche soir, à 21 heures 15, et durant la moitié des vacances scolaires et des jours fériés. - La résidence de D.________ est fixée chez son père. IV. supprimé V. Les allocations familiales versées en faveur de D.________ sont acquises à T.________. Les indemnités Al dues en faveur de D.________ jusqu'au 31 décembre 2016 sont acquises à T.________, qui assumera tous les frais de D.________ jusqu'à cette dernière date. Ces indemnités Al seront dès le 1er janvier 2017 acquises à Q.________, qui assumera dès lors tous les frais de D.________. Q.________ rétrocédera 200 fr. par mois à T.________, dès le 1er janvier 2017, cela dans les dix jours dès réception des indemnités versées par l'AI, tant et aussi longtemps que dites indemnités seront calculées sur un degré d'impotence grave. Il est précisé que ce régime relatif aux indemnités Al est valable jusqu'à la majorité de D.________. VI. Parties confirment que Q.________ n'a plus d'effets personnels au domicile de T.________. Les biens communs seront répartis dans le cadre de la liquidation du régime matrimonial. » B. Chaque partie conserve ses frais judiciaires et dépens de deuxième instance. » II. Les frais judiciaires de deuxième instance, arrêtés à 400 fr. (quatre cents francs) sont mis à la charge de T.________. III. Il n'est pas alloué de dépens de deuxième instance. IV. La cause est rayée du rôle. V. L'arrêt est exécutoire.</w:t>
      </w:r>
    </w:p>
    <w:p>
      <w:r>
        <w:t>- 5 - Le juge délégué : Le greffier : Du Le présent arrêt, dont la rédaction a été approuvée à huis clos, est notifié à : - Me Robert Lei Ravello (pour Mme T.________), - Me Patricia Michellod (pour M. Q.________),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