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JS13.015123 vom 25. Juli 2013</w:t>
      </w:r>
    </w:p>
    <w:p>
      <w:r>
        <w:t>VD Tribunal cantonal, 2013-07-25, FR</w:t>
      </w:r>
    </w:p>
    <w:p>
      <w:r>
        <w:rPr>
          <w:b/>
        </w:rPr>
        <w:t xml:space="preserve">Quelle: </w:t>
      </w:r>
      <w:r>
        <w:t>https://mcp.opencaselaw.ch/entscheid/vd_gerichte_JS13.015123</w:t>
      </w:r>
    </w:p>
    <w:p>
      <w:r>
        <w:t>FR: VD_GERICHTE JS13.015123 du 25 juillet 2013</w:t>
      </w:r>
    </w:p>
    <w:p>
      <w:r>
        <w:t>IT: VD_GERICHTE JS13.015123 del 25 luglio 2013</w:t>
      </w:r>
    </w:p>
    <w:p>
      <w:pPr>
        <w:pStyle w:val="Heading2"/>
      </w:pPr>
      <w:r>
        <w:t>Erwägungen</w:t>
      </w:r>
    </w:p>
    <w:p>
      <w:r>
        <w:rPr>
          <w:b/>
        </w:rPr>
        <w:t>E. 3</w:t>
      </w:r>
    </w:p>
    <w:p>
      <w:r>
        <w:t>a) L’appelante conteste l’instauration d’une garde alternée sur l’enfant C.P.________. Elle soutient s’être toujours souciée seule de sa fille avec l’aide d’une maman de jour, le père étant absent ou ne s’occupant pas de celle-ci même lorsqu’il était à la maison. b) 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(cf. art. 273 ss CC). Seul le droit de garde est ordinairement attribué dans le cadre de la procédure des mesures protectrices de l’union conjugale ou lorsque des mesures provisionnelles sont ordonnées pour la procédure de divorce (ATF 136 II 353 c. 3.1, JT 2010 1491). Les principes posés par la jurisprudence et la doctrine en matière de divorce sont applicables par analogie (Chaix, in Commentaire Romand, Code civil I, Bâle 2010, n. 19 ad art. 176 CC; Bräm, in Zürcher Kommentar, 2e éd., Zurich 1998, n. 89 et 101 ad art. 176 CC; TF 5A_693/2007 du 18 février2008; TF 5A_69/2011 du 27 février 2012 c. 2.1, in FamPra.ch 2012 p. 817). La règle fondamentale en ce domaine est l’intérêt de l’enfant, celui des parents étant relégué à l’arrière-plan.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Ce dernier critère revêt un poids particulier lorsque les capacités d’éducation et de soin sont similaires (ATF 117 II 353 c. 3). Lorsque les capacités éducatives des parents sont égales et qu’il s’agit d’enfants en bas âge, la garde est attribuée au parent qui présente de meilleures disponibilités pour s’occuper personnellement de l’enfant</w:t>
      </w:r>
    </w:p>
    <w:p>
      <w:r>
        <w:t>- 8 - (TF 5A_223/2012 du 13 juillet 2012; TF 5A_905/2011 du 28 mars 2012; TF 5A_492/2011 du 28 février 2012). Le juge appelé à se prononcer sur le fond qui, par son expérience en la matière, connaît mieux les parties et le milieu dans lequel l’enfant est amené à vivre, dispose d’un large pouvoir d’appréciation (ATF 117 II 353 c. 2; TF 5A_860/2009 du 26 mars 2010 c. 3.1). c) La garde alternée est la situation dans laquelle les parents exercent en commun l’autorité parentale, mais se partagent la garde de l’enfant de manière alternée pour des périodes plus ou moins égales, qui peuvent être fixées en jours ou en semaines, voire en mois (TF 5A_69/2011 du 27 février 2012 c. 2.1; TF 5C.42/2001 du 18 mai 2001 c. 3a et les auteurs cités, publié in SJ 2001 I 407 et FamPra.ch 2001 p. 823). Selon la jurisprudence, l’instauration d’une garde alternée s’inscrit dans le cadre de l’exercice conjoint de l’autorité parentale et partant, suppose l’accord des deux parents (TF 5A_69/2011 du 27 février 2012 c. 2.1; TF 5A_495/2008 du 30 octobre 2008 c. 4.2, publié in FamPra.ch 2009 p. 238; TF 5P.103/2004 du 7 juillet 2004 c. 2.4.3.1; TF 5P.173/2001 du 28 août 2001 c. 7a, publié in FamPra.ch 2002 p. 163, 165; TF 5C.42/2001 du 18 mai 2001 c. 3, publié in SJ 2001 I 408 c. 3b in fine et les citations; TF 5A_497/2011 du 5 décembre 2011 c. 2.1.3 et les références citées; dans ce sens: Büchler/Wirz, in FamKommentar, Scheidung, vol. 1, 2e éd., Berne 2011, n. 27 ad art. 133 CC). Au demeurant, l’admissibilité d’une garde alternée doit être appréciée sous l’angle de l’intérêt de l’enfant et dépend, entre autres conditions, de la capacité de coopération des parents (TF 5A_69/2011 du 27 février 2012 c. 2.1; TF 5A_645/2008 du 27 août 2009 c. 6). Dans un arrêt récent (TF 5A_642/2012 du 23 octobre 2012 c. 4), le Tribunal fédéral a relevé que l’on pouvait s’interroger sur le point de savoir si la seule référence à l’absence de consentement des deux parents au maintien de l’autorité parentale conjointe ou à la garde alternée était suffisante pour refuser l’exercice en commun de l’autorité parentale ou du droit de garde; il a rappelé que la compatibilité de l’art. 133 al. 3 CC avec les art. 8 et 14 CEDH faisait d’ailleurs l’objet d’un recours pendant devant</w:t>
      </w:r>
    </w:p>
    <w:p>
      <w:r>
        <w:t>- 9 - la Cour européenne des droits de l’Homme. En doctrine, Meier estime que l’exigence d’un accord des deux parents devrait être relativisée lorsque l’intérêt de l’enfant paraît mieux préservé par une garde alternée et que les circonstances objectives permettent de la mettre en place, même si les parents ont par ailleurs des difficultés de communication; il relève que le nouveau droit, en maintenant automatiquement une autorité parentale conjointe après divorce, est censé favoriser des solutions de garde partagée également (Meier, Résumé de jurisprudence (filiation et tutelle) mars à juin 2012, in ZKE 4/2012, RJ 60-12, pp. 298 s.). De fait, ensuite de la modification du Code civil suisse (autorité parentale) adoptée le 21 juin 2013 par l’Assemblée fédérale (FF 2013 4229), le nouveau droit ne prévoit plus, comme l’actuel art. 133 al. 3 CC, la nécessité d’une requête conjointe des père et mère pour le maintien de l’exercice en commun de l’autorité parentale après divorce, mais prévoit que le juge tient compte de toutes les circonstances importantes pour le bien de l’enfant, prenant en considération une éventuelle requête commune des parents et, autant que possible, l’avis de l’enfant (art. 133 al. 2 révisé CC), précisant que dans le cadre d’une procédure de divorce ou d’une procédure de protection de l’union conjugale, le juge confie à l’un des parents l’autorité parentale exclusive si le bien de l’enfant le commande (art. 298 al. 1 révisé CC). d) En l’espèce, le premier juge a considéré que malgré l’absence de consentement de la mère à la garde alternée, une telle solution permettait de mieux préserver l’intérêt de l’enfant. Il n’y a pas lieu de s’écarter de cette appréciation du premier juge, qui a entendu les parties à son audience. En effet, au regard de ce qui a été exposé plus haut (c. 3c supra), force est de considérer que lorsque les deux parents se déclarent prêts à assumer la garde de l’enfant mais que l’un d’entre eux est opposé à l’instauration d’une garde alternée, le juge n’est pas lié par cette opposition et peut prononcer une garde alternée lorsque l’intérêt de l’enfant paraît mieux préservé par une telle solution et que les circonstances objectives permettent de la mettre en place. Or dans le cas présent, les deux parents ont déclaré en cours d’audience revendiquer la</w:t>
      </w:r>
    </w:p>
    <w:p>
      <w:r>
        <w:t>- 10 - garde de l’enfant C.P.________, laquelle est âgée de deux ans. Ils ne rencontrent pas de difficultés de communication s’agissant de l’enfant et ont déclaré s’en occuper tous deux à satisfaction. Par ailleurs, comme C.P.________ est confiée tous les jours de la semaine, depuis le mois d’avril 2012, à une maman de jour, rien ne s’oppose à l’instauration d’un droit de garde alterné, qui permet de mieux préserver l’intérêt de l’enfant. En effet, l’instauration d’un tel droit de garde permettra d’économiser de nombreux déplacements à l’enfant, qui demeure en bas âge, et ses repères géographiques et affectifs s’en trouveront moins troublés, ainsi que l’a relevé à raison le premier juge.</w:t>
      </w:r>
    </w:p>
    <w:p>
      <w:r>
        <w:rPr>
          <w:b/>
        </w:rPr>
        <w:t>E. 4</w:t>
      </w:r>
    </w:p>
    <w:p>
      <w:r>
        <w:t>a) L’appelante conteste l’attribution du logement conjugal à l’intimé. Elle considère qu’étant actuellement en formation et sans revenu, elle ne pourra pas obtenir un appartement plus facilement que l’intimé, même en étant titulaire d’un permis C. Elle soutient qu’elle devra vivre dans sa famille, sans que sa fille puisse toutefois bénéficier de son environnement habituel. b) Aux termes de l’art. 176 al. 1 ch. 2 CC, le juge, à la requête d’un des conjoints et si la suspension de la vie commune est fondée, prend les mesures en ce qui concerne le logement et le mobilier du ménage. Ainsi,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w:t>
      </w:r>
    </w:p>
    <w:p>
      <w:r>
        <w:t>- 11 - l’environnement qui lui est familier, ainsi que le fait, confirmé par l’expérience, que l’époux qui reste seul trouve plus rapidement à se loger, comme personne individuelle, que l’autre époux à qui la garde des enfants a été confiée;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Si ce second critère ne donne pas non plus de résultat clair, le juge doit alors tenir compte du statut juridique de l’immeuble et l’attribuer à celui des époux qui en est le propriétaire ou qui bénéficie d’autres droits d’usage sur celui-ci (TF 5A_930/2012 du 16 mai 2013 c. 3.3.2; TF 5A_416/2012 du 13 septembre 2012 c. 5.1, in SJ 2013 I 159; TF 5A_575/2011 du 12 octobre 2011 c. 5.1; TF 5A_766/2008 du 4 février 2009 c. 3, in JT 2010 I 341; ATF 120 II 1 c. 2c). c) En l’espèce, vu l’instauration d’une garde alternée, le critère de la plus grande utilité ne donne pas de résultat probant, dans la mesure où l’enfant passera de toute manière une semaine sur deux dans le logement conjugal. Il convient donc d’examiner à quel époux on peut le</w:t>
      </w:r>
    </w:p>
    <w:p>
      <w:r>
        <w:t>- 12 - plus raisonnablement imposer de déménager, compte tenu de toutes les circonstances. C’est ce qu’a fait le premier juge et son appréciation, qui l’a conduit à attribuer la jouissance du domicile conjugal à l’intimé, à charge pour lui d’en payer le loyer et les charges, ne prête pas le flanc à la critique. En effet, si la grande soeur du mari habite à Lausanne, ce dernier a déclaré ne pouvoir s’y rendre, sa soeur occupant déjà avec sa fille un appartement exigu. Quant à l’appelante, malgré le fait que sa mère et sa soeur habitent à Lausanne, elle a déclaré ne pouvoir vivre ni chez l’une, ni chez l’autre, sans toutefois motiver cette affirmation. Dans ces conditions, et compte tenu de ce que l’épouse est titulaire d’un permis C — tandis que le mari ne dispose que d’un permis B — et qu’il sera par conséquent plus aisé pour elle de trouver un appartement, il y a lieu de confirmer la décision du premier juge s’agissant de l’attribution du logement conjugal.</w:t>
      </w:r>
    </w:p>
    <w:p>
      <w:r>
        <w:rPr>
          <w:b/>
        </w:rPr>
        <w:t>E. 5</w:t>
      </w:r>
    </w:p>
    <w:p>
      <w:r>
        <w:t>a) L’appelante fait grief au premier juge de ne pas avoir alloué pour elle et pour sa fille de contributions d’entretien à charge de l’intimé. Elle sollicite le versement régulier d’un montant mensuel de 1'000 fr., allocations familiales en sus. b) Aux termes de l’art. 176 al. 1 ch. 1 CC, le juge fixe la contribution pécuniaire à verser par l’une des parties à l’autre. Le montant de la contribution d’entretien se détermine en fonction des facultés économiques et des besoins respectifs des époux (TF 5A_501/2011 du 2 mai 2012 c. 3.1 et les références citées). L’art. 176 al. 3 CC prévoit en outre que, lorsqu’il y a des enfants mineurs, le juge ordonne les mesures nécessaires, d’après les dispositions sur les effets de la filiation. En vertu de l’art. 285 al. 1 CC, la contribution d’entretien doit correspondre aux besoins de l’enfant ainsi qu’à la situation et aux ressources des père et mère (TF 5A_501/2011 du 2 mai 2012 c. 3.2 et les références citées). En tous les cas, en vertu du droit à des conditions minimales d’existence garanti par l’art. 12 Cst. (ATF 121 I 367 c. 2), l’obligation d’entretien trouve sa limite dans la capacité contributive du débiteur d’entretien, en ce sens que le minimum vital de celui-ci doit être préservé (ATF 137 III 59</w:t>
      </w:r>
    </w:p>
    <w:p>
      <w:r>
        <w:t>- 13 - c. 4.2.1; ATF 135 III 66 c. 2; ATF 126 I 353 c. 1a/aa; ATF 123 III 1 c. 3b/bb et 5 in fine). c) En l’espèce, l’épouse a effectué un apprentissage de gestionnaire d’intendance, dont elle a obtenu le diplôme en juin 2012, puis a travaillé en qualité d’aide infirmière en EMS où elle a effectué des remplacements pour un revenu mensuel net fluctuant entre 300 fr. et 3’000 fr. en fonction du nombre d’heures de travail effectuées, le chômage complétant le gain intermédiaire mensuel ainsi réalisé. Enfin, elle a effectué une formation de quatre mois auprès de la Croix-Rouge, qu’elle indique dans son appel avoir terminée et qui devrait lui permettre d’être embauchée à temps plein en EMS. Quant au mari, il travaillait en qualité de plongeur à 80% au service de [...], pour un revenu mensuel net de l’ordre de 2’500 fr., activité qu’il a toutefois abandonnée en mars 2013 dans le but de suivre une formation lui permettant de trouver un emploi avec des horaires réguliers de jour. Il est actuellement inscrit au chômage mais compte suivre très prochainement une formation rémunérée de six mois comme assistant éducateur pour personnes handicapées en EMS, le chômage complétant le revenu obtenu. Ainsi, les deux parties perçoivent actuellement un revenu de même ordre, dans l’attente de la stabilisation de leur situation professionnelle. Par ailleurs, la garde de l’enfant C.P.________ s’effectuera de manière alternée entre les deux parents, de sorte que chacun d’eux assumera les frais relatifs à l’enfant durant sa période de garde. Dans ces conditions, le premier juge a considéré à juste titre qu’il ne se justifiait pas de fixer de contribution d’entretien en faveur de l’une ou l’autre des parties.</w:t>
      </w:r>
    </w:p>
    <w:p>
      <w:r>
        <w:rPr>
          <w:b/>
        </w:rPr>
        <w:t>E. 6</w:t>
      </w:r>
    </w:p>
    <w:p>
      <w:r>
        <w:t>a) Il résulte de ce qui précède que l’appel, en application de l’art. 312 al. 1 CPC, doit être rejeté et l’ordonnance entreprise confirmée.</w:t>
      </w:r>
    </w:p>
    <w:p>
      <w:r>
        <w:t>- 14 - b) Cela étant, on ne saurait aller jusqu’à considérer que l’appel était d’emblée dépourvu de toute chance de succès (art. 117 let. b CPC), de sorte que l’assistance judiciaire sollicitée par l’appelante, dont l’indigence est établie (art. 117 let. a CPC), lui sera octroyée sous la forme de l’exonération de frais judiciaires (art. 118 al. 1 let. b CPC), l’appelante ayant déposé son appel sans l’assistance d’un avocat. Dans la mesure de l’art. 123 CPC, la bénéficiaire de l’assistance judiciaire est tenue au remboursement des frais judiciaires mis à la charge de l’Etat. c) Les frais judiciaires de deuxième instance, arrêtés à 600 fr. (art. 65 al. 2 TFJC [Tarifs des frais judiciaires civils du 28 septembre 2010; RSV 270.11.5]) pour l’appelante, seront laissés à la charge de l’Etat (art.122 al. 1 let. b CPC). d) Il n’y a pas lieu d’allouer de dépens, dès lors que l’intimé n’a pas été invité à se déterminer sur l’appel.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pour A.P.________, née [...], sont laissés à la charge de l’Etat.</w:t>
      </w:r>
    </w:p>
    <w:p>
      <w:r>
        <w:t>- 15 - IV. Il n’est pas alloué de dépens de deuxième instance. V. A.P.________, née [...], est, dans la mesure de l’art. 123 CPC, tenue au remboursement des frais judiciaires mis à la charge de l’Etat. VI. L’arrêt motivé est exécutoire. Le juge délégué : La greffière : Du 26 juillet 2013 Le dispositif de l'arrêt qui précède est communiqué par écrit aux intéressés. La greffière : Du L'arrêt qui précède, dont la rédaction a été approuvée à huis clos, est notifié en expédition complète, par l'envoi de photocopies à : - Me Marc-Aurèle Vollenweider, avocat (pour A.P.________), - M. B.P.________. Le juge délégué de la Cour d’appel civile considère que la valeur litigieuse est supérieure à 30’000 francs.</w:t>
      </w:r>
    </w:p>
    <w:p>
      <w:r>
        <w:t>- 16 -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