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JS13.006408 vom 13. August 2013</w:t>
      </w:r>
    </w:p>
    <w:p>
      <w:r>
        <w:t>VD Tribunal cantonal, 2013-08-13, FR</w:t>
      </w:r>
    </w:p>
    <w:p>
      <w:r>
        <w:rPr>
          <w:b/>
        </w:rPr>
        <w:t xml:space="preserve">Quelle: </w:t>
      </w:r>
      <w:r>
        <w:t>https://mcp.opencaselaw.ch/entscheid/vd_gerichte_JS13.006408</w:t>
      </w:r>
    </w:p>
    <w:p>
      <w:r>
        <w:t>FR: VD_GERICHTE JS13.006408 du 13 août 2013</w:t>
      </w:r>
    </w:p>
    <w:p>
      <w:r>
        <w:t>IT: VD_GERICHTE JS13.006408 del 13 agosto 2013</w:t>
      </w:r>
    </w:p>
    <w:p>
      <w:pPr>
        <w:pStyle w:val="Heading2"/>
      </w:pPr>
      <w:r>
        <w:t>Erwägungen</w:t>
      </w:r>
    </w:p>
    <w:p>
      <w:r>
        <w:rPr>
          <w:b/>
        </w:rPr>
        <w:t>E. 43</w:t>
      </w:r>
    </w:p>
    <w:p>
      <w:r>
        <w:t>et les réf. citées).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Dès lors que la cause porte sur la situation d'enfants mineurs, elle est soumise aux maximes inquisitoire illimitée et d'office. Les pièces produites par les parties sont dès lors recevables dans la mesure où elles ne figuraient pas déjà au dossier de première instance. 3. a) L’appelante soutient que le pronostic posé par le premier juge au sujet de la célérité de la justice américaine est erroné, le juge américain attendant selon elle une clarification de la situation procédurale dans notre pays avant de se prononcer, cas échéant, sur les modalités de la séparation litigieuse. Elle estime que le flou qui entoure les circonstances juridiques de cette séparation ne devrait pas se dissiper avant plusieurs semaines. Elle rappelle également que les difficultés conjugales des parties sont très complexes et qu’elle ne peut, en l’état, se référer à aucune décision judiciaire pour justifier de l’attribution du logement conjugal. L’ensemble de ces éléments prouve selon elle que l’urgence est évidente et, partant, le péril en la demeure manifeste. L’appelante estime que le premier juge a écarté sans autre motivation et examen concret des conditions posées dans le cadre de l’art. 10 LDIP sa compétence relative aux conclusions portant sur la provision ad litem et les obligations d’entretien de l’intimé. b) Selon la jurisprudence rendue sous l’empire de l’ancien art. 10 LDIP, qui reste d’actualité, le but de la disposition était d’assurer, dans certaines circonstances particulières, une protection immédiate, alors même que le juge suisse ne serait pas compétent sur le fond du litige. Cette disposition ne s’applique que si les mesures requises sont urgentes et nécessaires, circonstances qu’il appartient au demandeur d’établir (TF</w:t>
      </w:r>
    </w:p>
    <w:p>
      <w:r>
        <w:t>- 11 - 5C.7/2007 du 17 avril 2007 c. 6.2 publié in FamPra.ch 2007 p. 698 et les réf. citées). Selon la jurisprudence, le péril en la demeure constitue notamment un motif d’intervention des tribunaux suisses (ATF 134 III 326 c. 3.5.1, JT 2009 I 215 ; TF 5A_762/2011 du 4 septembre 2012). L’art. 10 LDIP trouve application dans cinq cas : 1) le droit étranger du divorce ignore une réglementation semblable à l’art. 276 CPC sur les mesures provisionnelles ; 2) les mesures ordonnées par le juge étranger ne peuvent pas être exécutées en Suisse ; 3) des mesures doivent être prises en Suisse pour garantir une exécution future sur les biens saisis en Suisse ; 4) il y a péril en la demeure ; 5) il est peu probable que le juge étranger se décidera dans un délai convenable (arrêt du 5 mars 1991, SJ 1991, p. 457 ; ATF 134 III 326 c. 3.5.1, JT 2009 I 215). Le Tribunal fédéral a précisé que cette interprétation de l’art. 10 LDIP valait même si le tribunal suisse n’avait été saisi d’aucune action en divorce, mais seulement d’une demande de mesures provisoires (TF 5A_461/2010 du 30 août 2010, JT 2011 II 231). c) En l’espèce, l’argument de l’appelante, selon lequel il y a péril en la demeure au vu de la lenteur de l’agenda judiciaire américain, tombe à faux. En effet, la justice américaine a, par décision du 2 août 2013, confirmé sa compétence pour statuer sur l'action en divorce ouverte par l'intimé ainsi que sur les effets du divorce, à l'exception de la garde des enfants du couple – de la compétence des autorités suisses. Elle a, le même jour, rendu une ordonnance de mesures provisionnelles, qui fixait notamment la contribution d'entretien mensuelle de l'intimé en faveur de sa famille et attribuait la jouissance exclusive du domicile conjugal de Shutesbury. En ce qui concerne le prétendu défaut de motivation en lien avec l’art. 10 LDIP dont se prévaut l’appelante s’agissant des questions de la provision ad litem et des obligations d’entretien de l’intimé, ce grief est infondé. Le premier juge s’est en effet référé à la motivation faite</w:t>
      </w:r>
    </w:p>
    <w:p>
      <w:r>
        <w:t>- 12 - s'agissant de l’organisation de la vie séparée sous l’angle du péril en la demeure. Ainsi, il a dûment motivé son appréciation selon laquelle il n'était pas compétent pour trancher la provision ad litem ainsi que les obligations d'entretien de l'intimé, faute d'urgence. Ce moyen est d’autant plus mal fondé que l’appelante elle-même se réfère à la motivation du premier juge en indiquant, en page 6 de son mémoire d’appel, qu'il "a fait fausse route en écartant implicitement tout péril en la demeure également en ce qui concerne les questions financières de la séparation". Quoi qu’il en soit, on ne peut que rejoindre l’appréciation du premier juge, selon laquelle il n’y avait pas d’urgence particulière à traiter ces questions. Le contraire n'est en tous cas pas établi. Ainsi, à l’instar de ce qu’a retenu le premier juge, il y a lieu d’admettre que la condition de l’urgence n’est pas réalisée pour retenir la compétence contestée des autorités suisses au sens de l’art. 10 LDIP. 4. a) Dans un second moyen, l’appelante soutient que le prononcé entrepris omet de constater que le comportement de l’intimé consistant à déposer en avril 2013 une demande en divorce aux Etats- Unis, alors même qu’il se savait attrait depuis février 2013 en mesures protectrices de l’union conjugale devant un juge suisse, relève d’un abus de droit. Elle explique que l’application stricte des règles du droit international privé est susceptible de conduire à un "saucissonnage" des compétences et que cela consiste à utiliser une institution contrairement à son but. Selon elle, cela n’apparaît pas totalement incongru puisque l’intimé a aussi pris des conclusions au fond, de sorte que son comportement contradictoire confirme la situation d’abus de droit évoquée. b) L'art. 2 al. 1 CC dispose que chacun est tenu d'exercer ses droits et d'exécuter ses obligations selon les règles de la bonne foi. Selon l'art. 2 al. 2 CC (Code civil suisse du 10 décembre 1907, RS 210), l'abus manifeste d'un droit n'est pas protégé par la loi. L'existence d'un abus de droit se détermine en fonction des circonstances concrètes du cas et au</w:t>
      </w:r>
    </w:p>
    <w:p>
      <w:r>
        <w:t>- 13 - regard des diverses catégories mises en évidence par la jurisprudence et la doctrine (ATF 129 III 493 c. 5.1 et jurisprudence citée). L'adjectif "manifeste" indique qu'il convient de se montrer restrictif dans l'admission de l'abus de droit (TF 4C.385/2001 du 8 mai 2002 c. 5b ; TF 4C.225/2001 du 16 novembre 2001, publié in SJ 2002 I p. 405, c. 2b). Les cas typiques sont l'absence d'intérêt à l'exercice d'un droit, l'utilisation manifeste d'une institution juridique contrairement à son but, la disproportion manifeste des intérêts en présence, l'exercice d'un droit sans ménagement ou l'attitude contradictoire (ATF 129 III 493 c. 5.1 et jurisprudence citée ; 127 III 357 c. 4c/bb). c) En l’espèce, il n’est pas possible de retenir, comme le soutient l’appelante, l’existence d’un abus de droit commis par l’intimé en ouvrant action en divorce aux Etats-Unis. Au vu du fait qu’aucune action en divorce n’était pendante en Suisse, A.L.________ pouvait déposer une demande en divorce auprès des tribunaux américains. De surcroît, si l’on considère le fait que les époux sont de nationalité américaine et que l’intimé est domicilié aux Etats-Unis, le dépôt d’une demande en divorce dans ce même pays n’est pas choquante. De manière générale, il n’est pas rare que les compétences pour juger des effets du divorce soient réparties entre différents pays, notamment lorsque les enfants sont domiciliés dans un autre Etat que celui amené à statuer sur le principe du divorce, sans pour autant que l’un ou l’autre des époux se rende coupable d’abus de droit. Le grief de l’appelante relatif au prétendu comportement contradictoire de l’intimé tombe à faux. Les conclusions de ce dernier prises à l’audience du 15 avril 2013 tendaient principalement à ce que le juge suisse constate son incompétence pour statuer sur les conclusions de l’appelante au vu de l’action en divorce pendante aux Etats-Unis. Quant aux conclusions que l’intimé a prises dans sa requête de mesures provisionnelles et superprovisionnelles du 24 juin 2013, elles tendaient à la fixation de son</w:t>
      </w:r>
    </w:p>
    <w:p>
      <w:r>
        <w:t>- 14 - droit de visite sur ses quatre enfants, question pour laquelle le juge suisse a admis sa compétence, ce qui n’a pas été contesté par les parties. Les autorités américaines ont d’ailleurs expressément admis la compétence des autorités suisses s’agissant de l’octroi de la garde et, partant, du droit de visite, sur les enfants du couple. Ainsi, aucun comportement contradictoire ne peut être reproché à l'intimé. 5. a) Dans sa détermination spontanée du 12 août 2013, l’appelante se plaint du fait que les décisions rendues le 2 août 2013 par la justice américaine ne sont pas définitives et feront vraisemblablement l’objet d’un appel. Elle soutient donc que dans ces circonstances, ces décisions ne peuvent pas servir de base à l’argumentation défendue par la partie adverse. L’appelante développe également d’autres arguments s’agissant de la manière dont le juge américain a fixé les contributions dues par l’intimé pour l’entretien des siens, qui serait selon elle en incohérence totale avec le système juridique suisse et ses méthodes de calcul en la matière. b) Les griefs présentés par l’appelante sont dénués de pertinence au regard de l’art. 10 LDIP. Le caractère exécutoire de la décision litigieuse est en effet sans incidence, puisqu’il suffit que cette décision puisse être exécutée en Suisse, ce que l’appelante ne conteste pas. Enfin, s’agissant des arguments liés à la manière dont le juge américain a fixé les contributions d’entretien, ils tombent à faux puisqu’ils ne relèvent pas de la juridiction suisse. 6. En définitive, l’appel doit être rejeté et le prononcé confirmé. Les frais judiciaires de deuxième instance, arrêtés à 600 fr. (art. 63 al. 1 TFJC [tarif des frais judiciaires civils du 28 septembre 2010, RSV 270.11.5]), sont mis à la charge de l’appelante, qui succombe (art. 106 al. 1 CPC).</w:t>
      </w:r>
    </w:p>
    <w:p>
      <w:r>
        <w:t>- 15 - Il n’y a pas matière à l’allocation de dépens de deuxième instance, l’intimé s’étant déterminé de manière spontanée sans qu’aucun délai de réponse formel ne lui ait été imparti.</w:t>
      </w:r>
    </w:p>
    <w:p>
      <w:r>
        <w:t>- 16 - Par ces motifs, la juge déléguée de la Cour d’appel civile du Tribunal cantonal, statuant à huis clos, en application de l'art. 312 al. 1 CPC, prononce : I. L’appel est rejeté. II. Le prononcé est confirmé. III. Le frais judiciaires de deuxième instance, arrêtés à 600 fr. (six cents francs), sont mis à la charge de l’appelante P.________. IV. L’arrêt motivé est exécutoire. La juge déléguée : La greffière : Du 14 août 2013 Le dispositif de l'arrêt qui précède est communiqué par écrit aux intéressés. La greffière :</w:t>
      </w:r>
    </w:p>
    <w:p>
      <w:r>
        <w:t>- 17 - Du L'arrêt qui précède, dont la rédaction a été approuvée à huis clos, est notifié en expédition complète, par l'envoi de photocopies, à : - Me Mathieu Genillod (pour P.________), - Me Alix de Courten (pour A.L.________).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