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JS13.005205 vom 21. Mai 2013</w:t>
      </w:r>
    </w:p>
    <w:p>
      <w:r>
        <w:t>VD Tribunal cantonal, 2013-05-21, FR</w:t>
      </w:r>
    </w:p>
    <w:p>
      <w:r>
        <w:rPr>
          <w:b/>
        </w:rPr>
        <w:t xml:space="preserve">Quelle: </w:t>
      </w:r>
      <w:r>
        <w:t>https://mcp.opencaselaw.ch/entscheid/vd_gerichte_JS13.005205</w:t>
      </w:r>
    </w:p>
    <w:p>
      <w:r>
        <w:t>FR: VD_GERICHTE JS13.005205 du 21 mai 2013</w:t>
      </w:r>
    </w:p>
    <w:p>
      <w:r>
        <w:t>IT: VD_GERICHTE JS13.005205 del 21 maggio 2013</w:t>
      </w:r>
    </w:p>
    <w:p>
      <w:pPr>
        <w:pStyle w:val="Heading2"/>
      </w:pPr>
      <w:r>
        <w:t>Erwägungen</w:t>
      </w:r>
    </w:p>
    <w:p>
      <w:r>
        <w:rPr>
          <w:b/>
        </w:rPr>
        <w:t>E. 1</w:t>
      </w:r>
    </w:p>
    <w:p>
      <w:r>
        <w:t>I.G.________, née C.________ le [...] 1971, et O.G.________, né le [...] 1963, se sont mariés le 10 juillet 2010 à Moissy Cramayel (Seine-et-Marne, France).</w:t>
      </w:r>
    </w:p>
    <w:p>
      <w:r>
        <w:t>- 4 - Une enfant est issue de cette union: P.G.________, née le [...] 2006.</w:t>
      </w:r>
    </w:p>
    <w:p>
      <w:r>
        <w:t>- 5 - I.G.________ est la mère de deux enfants issus d'une précédente relation et dont elle a la garde: - [...], né en 1996, et - [...], née en 1999.</w:t>
      </w:r>
    </w:p>
    <w:p>
      <w:r>
        <w:rPr>
          <w:b/>
        </w:rPr>
        <w:t>E. 2</w:t>
      </w:r>
    </w:p>
    <w:p>
      <w:r>
        <w:t>Par requête de mesures protectrices de l'union conjugale du</w:t>
      </w:r>
    </w:p>
    <w:p>
      <w:r>
        <w:rPr>
          <w:b/>
        </w:rPr>
        <w:t>E. 7</w:t>
      </w:r>
    </w:p>
    <w:p>
      <w:r>
        <w:t>février 2013, I.G.________ a conclu à ce qu'elle soit autorisée à vivre séparée de son mari, à ce que la garde sur l'enfant P.G.________ lui soit attribuée, avec un droit de visite pour O.G.________, à ce que ce dernier soit astreint à contribuer à l'entretien des siens et à ce que le domicile conjugal lui soit attribué. I.G.________ et O.G.________, assisté de son conseil, ont été entendus lors de l'audience du 14 mars 2013. I.G.________ a confirmé les conclusions de sa requête de mesures protectrices de l'union conjugale et O.G.________ a conclu à l'attribution de la garde sur l'enfant P.G.________. Les parties ont également déclaré ne pas s'opposer à la mise en œuvre d'un mandat d'évaluation confié au SPJ. A cette occasion, les parties ont en outre signé une convention partielle, ratifiée pour valoir ordonnance partielle de mesures protectrices de l'union conjugale, dont la teneur est la suivante: "I. Les époux O.G.________ et I.G.________, née C.________, conviennent de vivre séparés jusqu'au 31 janvier 2014, étant précisé que la séparation effective est intervenue le 1er novembre 2012. II. Les parties constatent qu'il n'y a plus de domicile conjugal." 3. La situation des parties est la suivante: En raison de difficultés financières, la villa familiale, appartenant à O.G.________, a été louée après la séparation des parties au début novembre 2012. O.G.________ en retire un revenu locatif de l'ordre de 2'600 fr. par mois. Depuis la séparation jusqu'au 30 avril 2013, I.G.________ a loué un studio à un ami d'O.G.________ dans lequel elle a vécu avec ses trois enfants. Depuis le 1er mai 2013, elle sous-loue un appartement de trois</w:t>
      </w:r>
    </w:p>
    <w:p>
      <w:r>
        <w:t>- 6 - pièces et demie à Lausanne. Quant à O.G.________, il est logé, à titre gracieux, par ce même ami dans son propre logement de six à sept pièces. Les deux parties émargent aux services sociaux, O.G.________ présentant depuis le mois de janvier 2012 un épisode dépressif sévère. S'agissant d'I.G.________, elle a exposé s'être livrée à la prostitution à son arrivée en Suisse pour faire vivre sa famille; elle a rencontré son mari dans ce cadre. Elle a admis avoir proposé ses charmes jusqu'au mois de février 2013 en tout cas par le biais d'annonces sur internet. En d roit : 1. 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115, spéc. p. 121), dans les causes non patrimoniales ou dont la valeur litigieuse est supérieure à 10'000 francs (art. 308 al. 2 CPC). Les ordonnances de mesures protectrices étant régies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non patrimoniales, le présent appel est formellement recevable.</w:t>
      </w:r>
    </w:p>
    <w:p>
      <w:r>
        <w:t>- 7 - 2. 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et note approbatrice de Tappy) considère qu'en appel les novas sont soumis au régime ordinaire (en ce sens Tappy, op. cit., JT 2010 III 115; Hohl, Procédure civile, Tome II, 2e éd., 2010, n. 2410, p. 437). Le Tribunal fédéral a approuvé cette interprétation de la loi (TF 4A_228/2012 du 28 août 2012 c. 2). Des novas peuvent par ailleurs être en principe librement introduits dans les causes régies par la maxime inquisitoire illimitée, par exemple sur la situation des enfants mineurs en droit matrimonial (Tappy, op. cit., JT 2010 III 115, spéc. pp. 136-137; Jeandin, CPC commenté, Bâle 2011, n. 5 ad art. 296 CPC et les réf. citées). En l'espèce, le fait nouveau invoqué le 13 mai 2013 par l'appelante, soit qu'elle sous-loue un appartement de trois pièces et demie depuis le 1er mai 2013, est recevable puisqu'il ne pouvait être allégué dans la requête d'appel, le bail de sous-location ayant été conclu le 24</w:t>
      </w:r>
    </w:p>
    <w:p>
      <w:r>
        <w:t>- 8 - avril 2013, et invoqué dès que possible. Les pièces produites le 13 mai 2013 sont recevables pour les mêmes motifs. 3. a) L'appelante conclut à ce que la garde sur l'enfant P.G.________ lui soit attribuée au motif notamment qu'elle dispose maintenant d'un logement lui permettant d'accueillir sa fille dans de bonnes conditions.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Lorsque les capacités éducatives des parents sont égales et qu'il s'agit</w:t>
      </w:r>
    </w:p>
    <w:p>
      <w:r>
        <w:t>- 9 - d'enfants en bas âge, la garde est attribuée au parent qui présente de meilleures disponibilités pour s'occuper personnellement de l'enfant (TF 5A_223/2012 du 13 juillet 2012; TF 5A_905/2011 du 28 mars 2012; TF 5A_492/2011 du 28 février 2012). Le juge appelé à se prononcer sur le fond qui, par son expérience en la matière, connaît mieux les parties et le milieu dans lequel l'enfant est amené à vivre, dispose d'un large pouvoir d'appréciation (ATF 117 II 353 c. 2; TF 5A.860/2009 du 26 mars 2010 c. 3.1). c) En l'occurrence, c'est à juste titre que le premier juge a confié la garde de l'enfant P.G.________ à son père, à compétence éducatives équivalentes entre les parents (cf. ord. p. 9). Les éléments pris en compte, tels que les capacités d'accueil du père et la problématique de l'activité lucrative de l'appelante, restent d'actualité, quand bien même cette dernière dispose aujourd'hui d'un appartement plus grand. L'intimé dispose d'un logement plus spacieux que l'appelante pour accueillir sa fille (six à sept pièces pour trois personnes, contre 3,5 pièces pour quatre personnes chez l'appelante) et le doute plane toujours sur le point de savoir si l'appelante se livre encore à la prostitution. Indépendamment de toutes considérations morales sur l'activité de l'appelante, il existe ainsi un risque que l'enfant P.G.________, en vivant chez l'appelante, soit exposée à des situations problématiques pour son développement. Son intérêt primant, il convient de maintenir l'attribution du droit de garde au père, jusqu'au dépôt du rapport d'évaluation par le SPJ. 4. En conclusion, mal fondé, l'appel doit être rejeté, en application de la procédure de l'art. 312 al. 1 CPC, et l'ordonnance entreprise confirmée. La requête d'assistance judiciaire doit être rejetée, l'appel étant dépourvu de chance de succès (art. 117 let. b CPC). Les frais judiciaires de deuxième instance, arrêtés à 600 fr. (art. 65 al. 2 TFJC [tarif des frais judiciaires civils du 28 septembre 2010;</w:t>
      </w:r>
    </w:p>
    <w:p>
      <w:r>
        <w:t>- 10 - RSV 270.11.5]), seront mis à la charge de l'appelante, qui succombe (art. 106 al. 1 CPC). Il n'y a pas lieu à l'allocation de dépens de deuxième instance, l'intimé n'ayant pas été invité à se déterminer. Par ces motifs, le juge délégué de la Cour d’appel civile du Tribunal cantonal, statuant à huis clos, en application de l'art. 312 al. 1 CPC, prononce : I. L’appel est rejeté. II. L'ordonnance est confirmée. III. La requête d'assistance judiciaire de l'appelante, I.G.________, est rejetée. IV. Les frais judiciaires de deuxième instance, arrêtés à 600 fr. (six cents francs), sont mis à la charge de l'appelante, I.G.________. V. L'arrêt est exécutoire. Le juge délégué : La greffière :</w:t>
      </w:r>
    </w:p>
    <w:p>
      <w:r>
        <w:t>- 11 - Du L'arrêt qui précède, dont la rédaction a été approuvée à huis clos, est notifié en expédition complète, par l'envoi de photocopies, à : - Me Cédric Thaler (pour I.G.________), - Me Dan Bally (pour O.G.________).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