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JS12.036837 vom 16. April 2013</w:t>
      </w:r>
    </w:p>
    <w:p>
      <w:r>
        <w:t>VD Tribunal cantonal, 2013-04-16, FR</w:t>
      </w:r>
    </w:p>
    <w:p>
      <w:r>
        <w:rPr>
          <w:b/>
        </w:rPr>
        <w:t xml:space="preserve">Quelle: </w:t>
      </w:r>
      <w:r>
        <w:t>https://mcp.opencaselaw.ch/entscheid/vd_gerichte_JS12.036837</w:t>
      </w:r>
    </w:p>
    <w:p>
      <w:r>
        <w:t>FR: VD_GERICHTE JS12.036837 du 16 avril 2013</w:t>
      </w:r>
    </w:p>
    <w:p>
      <w:r>
        <w:t>IT: VD_GERICHTE JS12.036837 del 16 aprile 2013</w:t>
      </w:r>
    </w:p>
    <w:p>
      <w:pPr>
        <w:pStyle w:val="Heading2"/>
      </w:pPr>
      <w:r>
        <w:t>Erwägungen</w:t>
      </w:r>
    </w:p>
    <w:p>
      <w:r>
        <w:rPr>
          <w:b/>
        </w:rPr>
        <w:t>E. 1</w:t>
      </w:r>
    </w:p>
    <w:p>
      <w:r>
        <w:t>Le présent recours est assorti de l'effet suspensif.</w:t>
      </w:r>
    </w:p>
    <w:p>
      <w:r>
        <w:rPr>
          <w:b/>
        </w:rPr>
        <w:t>E. 2</w:t>
      </w:r>
    </w:p>
    <w:p>
      <w:r>
        <w:t>Ordre est donné à la Caisse de compensation X.________, [...] Lausanne, de ne pas exécuter la décision du 5 février 2013 jusqu'à droit connu sur le présent recours.</w:t>
      </w:r>
    </w:p>
    <w:p>
      <w:r>
        <w:rPr>
          <w:b/>
        </w:rPr>
        <w:t>E. 3</w:t>
      </w:r>
    </w:p>
    <w:p>
      <w:r>
        <w:t>Les éventuels montants consignés sont versés à Monsieur B.F.________.</w:t>
      </w:r>
    </w:p>
    <w:p>
      <w:r>
        <w:rPr>
          <w:b/>
        </w:rPr>
        <w:t>E. 4</w:t>
      </w:r>
    </w:p>
    <w:p>
      <w:r>
        <w:t>Les frais de la procédure de première instance sont mis à la charge de l'intimée.</w:t>
      </w:r>
    </w:p>
    <w:p>
      <w:r>
        <w:rPr>
          <w:b/>
        </w:rPr>
        <w:t>E. 5</w:t>
      </w:r>
    </w:p>
    <w:p>
      <w:r>
        <w:t>Le 24 janvier 2013, A.F.________ a saisi le Président d'une requête d'avis au débiteur, par laquelle elle a conclu à ce qu'ordre soit</w:t>
      </w:r>
    </w:p>
    <w:p>
      <w:r>
        <w:t>- 5 - donné à la Caisse de compensation X.________ de prélever sur les rentes de B.F.________ la somme de 700 fr. et de la verser sur le compte bancaire ouvert à son nom. Dans ses déterminations du 1er février 2013, B.F.________ a conclu au rejet de la requête. Lors de l'audience de mesures protectrices de l'union conjugale du 5 février 2013, les parties ont signé la transaction suivante : "I. B.F.________ accepte qu'un avis au débiteur soit prononcé pour le montant de la pension fixée par ordonnance de mesures protectrices de l'union conjugale du 10 décembre 2012 et confirmée par arrêt sur appel du 29 janvier 2013, soit 700 fr. par mois. Ordre sera donc donné à la Caisse de compensation X.________, avenue [...] Lausanne, de prélever le montant de 700 fr. sur la rente due à B.F.________ et de le verser directement à A.F.________, sur le compte no [...] de celle-ci auprès de PostFinance (no IBAN [...]). II. L'arriéré de pension pour la période du 1er septembre 2012 au 28 février 2013, soit six mois à 700 fr. (4'200 fr.), sera remboursé à A.F.________ par B.F.________ par des versements mensuels de 75 fr. au moins, le 10 de chaque mois pour le mois en cours, la première fois le 10 mars 2013. En cas de retard de plus de dix jours dans le paiement d'une mensualité, le solde de la dette sera immédiatement exigible. III. B.F.________ s'engage à entreprendre des démarches pour obtenir des subsides à l'assurance-maladie." Le Président a ratifié séance tenante la convention qui précède pour valoir ordonnance de mesures protectrices de l'union, ce dont les parties ont pris acte. En d roit : 1. L'art. 308 al. 1 let. b CPC (Code de procédure civile suisse du 19 décembre 2008, RS 272) ouvre la voie de l'appel contre les ordonnances de mesures provisionnelles rendues dans les causes non</w:t>
      </w:r>
    </w:p>
    <w:p>
      <w:r>
        <w:t>- 6 - patrimoniales ou dont la valeur litigieuse est supérieure à 10'000 fr. (art. 308 al. 2 CPC), les mesures protectrices de l'union conjugale devant être assimilées à des mesures provisionnelles au sens de l'art. 308 al. 1 let. b CPC (Tappy, CPC commenté, 2011, nn. 51 ss ad art. 273 CPC, pp. 1077 ss; CACI 6 avril 2011/28 c. 1b). Les ordonnances de mesures protectrices de l'union conjugale étant régies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 2. 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l'appréciation des faits sur la base des preuves administrées en première instance (Jeandin, op. cit. n. 6 ad art. 310 CPC, pp. 1249-1250). Le large pouvoir d'examen en fait et en droit ainsi défini s'applique même si la décision attaquée est de nature provisionnelle (JT 2011 III 43; Tappy, ibid., p. 136).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w:t>
      </w:r>
    </w:p>
    <w:p>
      <w:r>
        <w:t>- 7 -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 a produit une pièce nouvelle établie postérieurement à l'audience de mesures protectrices du 5 février 2013, à savoir une lettre du 15 février de la Caisse de compensation X.________, informant le conseil de l'appelant qu'elle n'avait aucune intention de prendre position dans la présente affaire. Si cette pièce est recevable au regard des conditions de l'art. 317 al. 1 CPC, elle n'est toutefois pas déterminante pour l'issue du présent litige. 3. a) Le bien-fondé de l'avis au débiteur est litigieux en l'espèce. Aux termes de l'art. 177 CC (Code civil suisse du 10 mars 1907, RS 210), lorsqu'un époux ne satisfait pas à son devoir d'entretien, le juge peut prescrire aux débiteurs d'opérer tout ou partie de leurs paiements entre les mains de son conjoint. Cette institution a pour but d'assurer à l'ayant droit le versement des contributions d'entretien futures, à une fréquence compatible avec la nature de ces prestations et indépendamment du bon vouloir du débiteur (Chaix, Commentaire romand – CC I Art. 1-359, 2010, n. 1 ad art. 177 CC). Le cercle des destinataires de la mesure n'est pas limité par la loi (ibidem, n. 11 ad art. 177 CC). b) Dans son écriture, l'appelant fait valoir que c'est en violation de l'art. 20 LPGA (loi fédérale du 6 octobre 2000 sur la partie générale du droit des assurances sociales, RS 830.1) que le premier juge a prononcé l'avis au débiteur attaqué, ordonnant à la caisse de compensation de prélever sur sa rente d'invalidité le montant de la pension qu'il doit à son épouse pour le verser directement à celle-ci. Il importe peu, selon lui, qu'il ait donné son accord à cette mesure, dès lors que l'art. 20 LPGA est de droit impératif. L'appelant expose qu'au vu de sa</w:t>
      </w:r>
    </w:p>
    <w:p>
      <w:r>
        <w:t>- 8 - situation financière particulièrement difficile, il a dû se tourner vers les services sociaux pour assurer son entretien. c) L'art. 20 al. 1 LPGA prévoit, sous le titre marginal "garantie de l'utilisation conforme au but",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Cette disposition présuppose que les prestations des assurances sociales poursuivent un certain but : pallier à un risque assuré, lequel peut être notamment la maladie, l'accident ou le décès (Kieser, ATSG-Kommentar, 2e éd., 2009, n. 2 ad art. 20 LPGA). Sont visés par cette disposition uniquement les tiers qui assument une obligation légale ou morale d'entretien à l'égard du bénéficiaire ("unterstützungspflichtig"), et non ceux envers lesquels le bénéficiaire assumerait une obligation d'entretien ("unterstützungsberechtigt"). Il peut s'agir notamment d'un parent, d'une maison de retraite, ou d'un hôpital (Kieser, op. cit., n. 14 ad art. 20 LPGA; TF 5P.474/2005 du 8 mars 2006). Des exceptions au principe posé par l'art. 20 LPGA sont prévues dans diverses lois spéciales d'assurances sociales. Par exemple, l'art. 22bis al. 2 LAVS (loi fédérale du 20 décembre 1946 sur l'assurance- vieillesse et survivants, RS 831.10) stipule qu'en dérogation à l'art. 20 LPGA, la rente complémentaire est versée au conjoint qui n'a pas droit à la rente principale, s'il le demande parce que son conjoint ne subvient pas à l'entretien de la famille (a), s'il le demande parce que les époux vivent séparés (b), d'office si les époux sont divorcés (c). L'al. 3 de cette disposition réserve les décisions du juge civil qui dérogeraient à l'alinéa 2.</w:t>
      </w:r>
    </w:p>
    <w:p>
      <w:r>
        <w:t>- 9 - La LAI (loi fédérale du 19 juin 1959 sur l'assurance-invalidité, RS 831.20) prévoit à son art. 35 al. 4 que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Dans un arrêt non publié du 8 mars 2006 (TF 5P.474/2005), le Tribunal fédéral a eu l'occasion de relever que rien ne justifiait que l'on s'écarte d'une interprétation littérale de l'art. 20 LPGA et a considéré que l'ordre donné à une caisse de compensation de prélever sur la rente d'invalidité du bénéficiaire le montant de la pension et de le verser en faveur de l'épouse créancière de la contribution d'entretien était contraire à l'art. 20 LPGA. c) En l'espèce, l'appelant a été astreint par décision du 10 décembre 2012 au versement d'une pension de 700 fr. destinée exclusivement à son épouse. En application de la jurisprudence fédérale mentionnée ci-dessus, l'ordre donné à la caisse de compensation de prélever sur la rente invalidité de l'appelant le montant de cette pension pour la verser directement en mains de l'intimée, qui n'assume pas d'obligation d'entretien en faveur de l'appelant ("unterstützungspflichtig") mais qui est une créancière de l'entretien ("unterstützungsberechtigt"), est contraire à l'art. 20 LPGA, de sorte qu'il doit être annulé. L'appel est dès lors bien fondé. 4. a) Au vu de ce qui précède, l'appel doit être admis et l'ordonnance entreprise annulée. b) Les frais judiciaires de deuxième instance, arrêtés à 600 fr. (art. 65 al. 2 TFJC [tarif des frais judiciaires civils du 28 septembre 2010,</w:t>
      </w:r>
    </w:p>
    <w:p>
      <w:r>
        <w:t>- 10 - RSV 270.11.5]), seront mis à la charge de l'intimée qui succombe (art. 106 al. 1 CPC). c) Obtenant gain de cause, l'appelant a droit à des dépens de deuxième instance, lesquels peuvent être fixés à 2'500 francs. d) Il y a lieu de fixer l'indemnité du conseil d'office de l'appelant, Me André Fidanza, pour le cas où il ne pourrait obtenir le paiement des dépens qui lui ont été alloués. Dans la liste qu'il a produite le 12 avril 2013, l'avocat a indiqué avoir consacré quinze heures et quarante-cinq minutes à la procédure d'appel, ce qui paraît quelque peu excessif au vu de la nature et de la complexité du litige, ainsi que des opérations effectuées. Dix heures de travail au tarif horaire de 180 fr. (art. 2 al. 1 let. a RAJ [règlement sur l'assistance judiciaire en matière civile du 7 décembre 2010; RSV 211.02.3]) sont suffisantes pour rémunérer équitablement l'avocat de l'appelant. Par ailleurs, la liste des débours produite n'étant pas compréhensible, on allouera un défraiement forfaitaire de 100 fr. à titre de remboursement des débours (cf. art. 3 al. 3 RAJ). En définitive, l'indemnité d'office sera arrêtée à 2'052 fr., TVA et débours compris. Le bénéficiaire de l'assistance judiciaire est, dans la mesure de l'art. 123 CPC, tenu au remboursement de l'indemnité de son conseil d'office mis à la charge de l'Etat. Par ces motifs, le Juge délégué de la Cour d'appel civile du Tribunal cantonal, statuant à huis clos, prononce : I. L'appel est admis.</w:t>
      </w:r>
    </w:p>
    <w:p>
      <w:r>
        <w:t>- 11 - II. L'ordonnance est annulée. III. Les frais judiciaires de deuxième instance, arrêtés à 600 fr. (six cents francs), sont mis à la charge de l'intimée. IV. L'indemnité d'office de Me André Fidanza, conseil d'office de l'appelant B.F.________, est arrêtée à 2'052 fr. (deux mille cinquante-deux francs), TVA et débours compris. V. Le bénéficiaire de l'assistance judiciaire est, dans la mesure de l'art. 123 CPC, tenu au remboursement de l'indemnité de son conseil d'office mis à la charge de l'Etat. VI. A.F.________ versera à B.F.________ la somme de 2'500 fr. (deux mille cinq cents francs) à titre de dépens de deuxième instance. VII. L'arrêt est exécutoire. Le juge délégué : La greffière : Du L'arrêt qui précède, dont la rédaction a été approuvée à huis clos, est notifié en expédition complète, par l'envoi de photocopies à : - Me André Fidanza, avocat (pour l'appelant B.F.________), - Me Sébastien Pedroli, avocat (pour l'intimée A.F.________). Le Juge délégué de la Cour d'appel civile considère que la valeur litigieuse est supérieure à 30'000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