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JS12.028357 vom 13. Dezember 2012</w:t>
      </w:r>
    </w:p>
    <w:p>
      <w:r>
        <w:t>VD Tribunal cantonal, 2012-12-13, FR</w:t>
      </w:r>
    </w:p>
    <w:p>
      <w:r>
        <w:rPr>
          <w:b/>
        </w:rPr>
        <w:t xml:space="preserve">Quelle: </w:t>
      </w:r>
      <w:r>
        <w:t>https://mcp.opencaselaw.ch/entscheid/vd_gerichte_JS12.028357</w:t>
      </w:r>
    </w:p>
    <w:p>
      <w:r>
        <w:t>FR: VD_GERICHTE JS12.028357 du 13 décembre 2012</w:t>
      </w:r>
    </w:p>
    <w:p>
      <w:r>
        <w:t>IT: VD_GERICHTE JS12.028357 del 13 dicembre 2012</w:t>
      </w:r>
    </w:p>
    <w:p>
      <w:pPr>
        <w:pStyle w:val="Heading2"/>
      </w:pPr>
      <w:r>
        <w:t>Erwägungen</w:t>
      </w:r>
    </w:p>
    <w:p>
      <w:r>
        <w:rPr>
          <w:b/>
        </w:rPr>
        <w:t>E. 1</w:t>
      </w:r>
    </w:p>
    <w:p>
      <w:r>
        <w:t>B.Z.________ et E.Z.________, tous deux nés en 1953, se sont mariés le 15 octobre 1975. Deux enfants, aujourd'hui majeurs et financièrement indépendants, sont issus de cette union.</w:t>
      </w:r>
    </w:p>
    <w:p>
      <w:r>
        <w:rPr>
          <w:b/>
        </w:rPr>
        <w:t>E. 2</w:t>
      </w:r>
    </w:p>
    <w:p>
      <w:r>
        <w:t>La séparation des parties a été régie par une convention signée lors d'une audience de mesures protectrices de l'union conjugale du 24 avril 2009, dont la teneur est la suivante : I. Les parties conviennent de vivre séparées pour une durée indéterminée; II. La jouissance du domicile conjugal, sis chemin [...] à La Tour-de-Peilz est attribuée à E.Z.________, à charge pour elle d'en assumer les charges y relatives à l'exception des dépenses extraordinaires de réparation; III. B.Z.________ contribuera à l'entretien d'E.Z.________ par le régulier versement d'une contribution mensuelle de CHF 5'700.- (cinq mille sept cents francs), payable d'avance le premier de chaque mois en mains d'E.Z.________, dès le 1er mai 2009; IV. B.Z.________ versera la moitié du salaire net variable qu'il perçoit, pour 2008 il s'agissait d'un bonus et d'une prime (CHF 36'849.- brut), sur un compte commun aux parties, avec signature collective à deux, destiné aux frais extraordinaires de réparation de la maison de La Tour-de-Peilz, en particulier au changement de la chaudière. B.Z.________ versera la moitié du solde de la part du salaire net variable sur le compte BCV [...] au nom d'E.Z.________ dans les 10 jours dès signature de la présente convention. La même répartition sera appliquée à un éventuel bonus futur; IV. Chaque partie garde ses frais et renonce à l'allocation de dépens."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- 7 -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Hohl, Procédure civile, Tome II, 2e éd., 2010, n. 2410, p. 437). Le Tribunal fédéral a récemment approuvé cette interprétation de la loi (TF 4A_228/2012 du 28 août 2012 c. 2). En l'espèce, outre l'ordonnance entreprise, l'enveloppe l'ayant contenue et une procuration, l'appelant a produit trois pièces nouvelles (pièces 10, 11 et 12). En tant que ces pièces n'ont pas été produites en première instance alors qu'elles auraient pu l'être, elles sont irrecevables en appel. 3. La contribution d'entretien est litigieuse en l'espèce.</w:t>
      </w:r>
    </w:p>
    <w:p>
      <w:r>
        <w:rPr>
          <w:b/>
        </w:rPr>
        <w:t>E. 3</w:t>
      </w:r>
    </w:p>
    <w:p>
      <w:r>
        <w:t>Le 12 juillet 2012, B.Z.________ a déposé une requête de mesures protectrices de l'union conjugale tendant à ce que la contribution d'entretien due en faveur de son épouse soit réduite à 3'200 fr. par mois dès le 1er juin 2011. Lors de l'audience du 3 octobre 2012, E.Z.________ a conclu au rejet des conclusions prises par le requérant, avec suite de frais et dépens.</w:t>
      </w:r>
    </w:p>
    <w:p>
      <w:r>
        <w:t>- 4 -</w:t>
      </w:r>
    </w:p>
    <w:p>
      <w:r>
        <w:rPr>
          <w:b/>
        </w:rPr>
        <w:t>E. 3.1</w:t>
      </w:r>
    </w:p>
    <w:p>
      <w:r>
        <w:t>En vertu de l'art. 176 al. 1 ch. 1 CC (Code civil suisse du 10 décembre 1907; RS 210)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w:t>
      </w:r>
    </w:p>
    <w:p>
      <w:r>
        <w:t>- 8 -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w:t>
      </w:r>
    </w:p>
    <w:p>
      <w:r>
        <w:rPr>
          <w:b/>
        </w:rPr>
        <w:t>E. 3.2</w:t>
      </w:r>
    </w:p>
    <w:p>
      <w:r>
        <w:t>Pour déterminer le montant de la contribution d'entretien, le premier juge s'est fondé sur les chiffres suivants : Appelant Revenus Charges Fr. 13'504.65 Base mensuelle : fr. 1'200.00 Loyer (Préverenges): fr. 1'520.00 Assurance-maladie : (y compris complém.) fr. 645.00 Frais de transport : fr. 250.00 Frais de repas : fr. 238.70 Impôts : fr. 1'900.00 Total : fr. 5'753.70 Disponible : fr. 7'750.95 (fr. 13'504.65 – fr. 5'753.70) Intimée Revenus Charges Fr. 2'482.90 Base mensuelle : fr. 1'200.00 Frais de logement : fr. 1'100.00 Assurance-maladie : (y compris complém.) fr. 647.00 Frais de transport : fr. 250.00 Frais médicaux : fr. 60.00 Impôts : fr. 1'230.00 Total : fr. 4'487.00 Déficit : fr. 2'004.10 (fr. 2'482.90 – fr. 4'487.00) Sur cette base, le premier juge a comblé le déficit de l'épouse, par 2'004 fr. 10, et réparti le solde du disponible, par 5'746 fr. 85, par moitié entre les époux, à raison de 2'873 fr. 40 chacun. Il a ainsi arrêté le montant de la contribution d'entretien due par l'appelant en faveur de l'intimée à 4'900 francs.</w:t>
      </w:r>
    </w:p>
    <w:p>
      <w:r>
        <w:t>- 9 - a) Dans un premier grief, l'appelant reproche au premier juge de ne pas avoir tenu compte du gain en capital dont bénéficie l'intimée sur les fonds qu'elle a investis en titres. Il estime qu'il y aurait lieu de retenir à tout le moins un rendement de 3 % sur la totalité de la fortune de l'intimée, par 790'000 fr., ce qui représenterait un revenu mensuel d'environ 2'000 fr. par mois, soit quelque 800 fr. de plus que le montant retenu par le premier juge. On peut imputer au créancier d'entretien un revenu hypothétique de sa fortune – notamment lorsque la fortune ne produit qu'un faible rendement (cf. TF 5A_827/2010 du 13 octobre 2011 c. 5.2, rés. RMA 2012 p. 109) – lorsqu’il n’entreprend rien pour obtenir un revenu qui suffirait à son entretien, que ce soit par mauvaise volonté, négligence ou renonciation délibérée (TF 5A_838/2009 du 6 mai 2010 c. 4.2.4, FamPra.ch 2010, n° 45, p. 669). Or, en l’espèce, l’intimée, qui perçoit une rente AI, a investi près des deux tiers du capital dont elle a hérité dans des titres et le solde sur un compte bancaire. Ce choix n'est pas critiquable au vu de la jurisprudence précitée, dès lors qu'il lui permet également d'avoir facilement accès à des liquidités en cas de besoin, ce qui ne serait pas le cas si l'intégralité de son capital était placé. Il n'est dès lors pas opportun d'imputer un revenu hypothétique à l'intimée équivalent au rendement qui serait obtenu si l'entier de la fortune était investi dans des titres. Selon l'estimation opérée par son gestionnaire de fortune, les titres sont susceptibles de rapporter à l'intimée un intérêt de l'ordre de 2,5 % par mois en 2012, soit 1'119 fr. 60 par mois. Au vu de la conjoncture actuelle, ce taux ne saurait être qualifié de faible (cf. Juge délégué CACI 24 avril 2012/184 c. 3.4 ; CACI 1er mars 2012/99 c. 3c/cc) et apparaît conforme à la jurisprudence (cf. 5A_662/2008 du 6 février 2009 c. 3.2 ; TF 5A_232/2011 du 17 août 2011 c. 2.2 ; TF 5A_898/2010 du 3 juin 2011 c. 4.3.2 et les réf. citées). C'est à juste titre que le premier juge n'a pas tenu compte du gain</w:t>
      </w:r>
    </w:p>
    <w:p>
      <w:r>
        <w:t>- 10 - en capital, celui-ci étant par essence fluctuant et, aussi longtemps que les titres n'ont pas été vendus, théorique. En conséquence, ce premier moyen de l'appelant doit être rejeté. b) Dans un second moyen, l'appelant fait grief au premier juge de ne pas avoir pris en considération dans ses charges les frais de son logement à Vers-l'Eglise, où il est légalement domicilié. Il fait valoir que son appartement secondaire, à Préverenges, lui évite des frais de transport quotidiens entre son domicile sis à Vers-l'Eglise et son lieu de travail à Lausanne, qui seraient de l'ordre de 1'533 fr. par mois (146 km par jour entre Vers-l'Eglise et Lausanne, à raison de 50 centimes le km x 21 jours); la totalité de ses frais de logement s’élèverait ainsi à 3'070 francs.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En l'espèce, au vu des principes énoncés, c'est à juste titre que le premier juge n'a pris en compte dans le calcul du minimum vital élargi de l'appelant qu'un seul loyer d’un montant de 1'520 fr., dans la mesure où, s’agissant de l’intimée, le loyer retenu s’élève à 1'100 fr. et que l’appelant perd de vue, s’agissant notamment de ses considérations quant à la location du logement conjugal, que celui-ci a été attribué par convention de mesures protectrices à l’intimée. Au demeurant, il importe peu que le logement à Préverenges soit en réalité le logement secondaire de l'appelant et que celui situé à Vers-l'Eglise constitue son logement principal, à la différence de ce qu'a retenu le premier juge, dès lors que les</w:t>
      </w:r>
    </w:p>
    <w:p>
      <w:r>
        <w:t>- 11 - charges afférentes à ces habitations sont équivalentes, soit de 1'520 fr. pour le premier et de 1'550 fr. pour le second, de sorte que cela ne change rien au calcul opéré par le premier juge. Ce moyen doit en conséquence également être rejeté. c) Enfin, l'appelant fait valoir que ses frais d'acquisition du revenu peuvent être estimés à un montant de 800 fr. par mois. Il expose que, de par son activité, il supporte des charges d'habillement, de représentation et de déplacement qui ne sauraient être ignorées. Le premier juge a retenu 488 fr. 70 de frais professionnels au total, comprenant 250 fr. de frais de transport, arrêtés en équité faute de justificatifs, et 238 fr. 70 de frais de repas, ceux-ci ayant été déterminés d'après les lignes directrices de la Conférence des préposés aux poursuites et faillites qui admettent à ce titre 11 fr. par jour de travail. Au vu du dossier et en l’absence de justificatifs, les montants retenus respectivement en équité et en application des lignes directrices ne prêtent pas le flanc à la critique. L'appel doit en conséquence être rejeté sur ce point. d) En définitive, le calcul du minimum vital tel qu'opéré par le premier juge doit être confirmé.</w:t>
      </w:r>
    </w:p>
    <w:p>
      <w:r>
        <w:rPr>
          <w:b/>
        </w:rPr>
        <w:t>E. 4</w:t>
      </w:r>
    </w:p>
    <w:p>
      <w:r>
        <w:t>Au vu de ce qui précède, l'appel doit être rejeté, dans la procédure de l'art. 312 al. 1 CPC, et l'ordonnance entreprise confirmée. Les frais judiciaires de deuxième instance, par 900 fr. (art. 65 al. 2 et 3 TFJC [tarif des frais judiciaires civils du 28 septembre 2010; RSV 270.11.5]), seront mis à la charge de l'appelant qui succombe.</w:t>
      </w:r>
    </w:p>
    <w:p>
      <w:r>
        <w:t>- 12 - Il n'y a pas lieu à l'allocation de dépens,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900 fr. (neuf cents francs), sont mis à la charge de l'appelant B.Z.________. IV. L'arrêt est exécutoire. La juge déléguée : La greffière : Du L'arrêt qui précède, dont la rédaction a été approuvée à huis clos, est notifié en expédition complète, par l'envoi de photocopies, à : - Me Jean-Samuel Leuba, avocat (pour l'appelant B.Z.________), - Me Irène Wettstein Martin, avocate (pour l'intimée E.Z.________).</w:t>
      </w:r>
    </w:p>
    <w:p>
      <w:r>
        <w:t>- 13 -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