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JS12.018896 vom 23. Oktober 2012</w:t>
      </w:r>
    </w:p>
    <w:p>
      <w:r>
        <w:t>VD Tribunal cantonal, 2012-10-23, FR</w:t>
      </w:r>
    </w:p>
    <w:p>
      <w:r>
        <w:rPr>
          <w:b/>
        </w:rPr>
        <w:t xml:space="preserve">Quelle: </w:t>
      </w:r>
      <w:r>
        <w:t>https://mcp.opencaselaw.ch/entscheid/vd_gerichte_JS12.018896</w:t>
      </w:r>
    </w:p>
    <w:p>
      <w:r>
        <w:t>FR: VD_GERICHTE JS12.018896 du 23 octobre 2012</w:t>
      </w:r>
    </w:p>
    <w:p>
      <w:r>
        <w:t>IT: VD_GERICHTE JS12.018896 del 23 ottobre 2012</w:t>
      </w:r>
    </w:p>
    <w:p>
      <w:pPr>
        <w:pStyle w:val="Heading2"/>
      </w:pPr>
      <w:r>
        <w:t>Erwägungen</w:t>
      </w:r>
    </w:p>
    <w:p>
      <w:r>
        <w:rPr>
          <w:b/>
        </w:rPr>
        <w:t>E. 1</w:t>
      </w:r>
    </w:p>
    <w:p>
      <w:r>
        <w:t>V.________, né le [...] 1954, et N.________ le [...] 1963, ressortissants algériens au bénéfice d'un livret C, se sont mariés le [...] 1989 à Lausanne. Ils sont les parents d'[...], né le [...] 1986, aujourd'hui majeur.</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capitalisées suivant la règle de l'art. 92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(art. 59 al. 2 let. a CPC) et portant sur des conclusions qui, capitalisées selon l'art. 92 al. 2 CPC, sont supérieures à 10'000 fr., le présent appel est formellement recevable.</w:t>
      </w:r>
    </w:p>
    <w:p>
      <w:r>
        <w:rPr>
          <w:b/>
        </w:rPr>
        <w:t>E. 1.3</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w:t>
      </w:r>
    </w:p>
    <w:p>
      <w:r>
        <w:t>- 7 - applicable, les conclusions des parties n'étant que des propositions qui ne lient pas le juge (Reetz/Hilber, ZPO-Komm, n. 76 ad art. 317 CPC). En l'espèce, les conclusions ne sont pas nouvelles. 2.</w:t>
      </w:r>
    </w:p>
    <w:p>
      <w:r>
        <w:rPr>
          <w:b/>
        </w:rPr>
        <w:t>E. 2</w:t>
      </w:r>
    </w:p>
    <w:p>
      <w:r>
        <w:t>Le 8 mai 2012, N.________, a déposé une plainte pénale contre V.________ pour atteinte à l'intégrité corporelle (voies de fait, lésions corporelles, mise en danger de la vie, etc.), à la suite des coups que lui avait infligés son mari. Le 15 mai 2012, elle a adressé au Président du Tribunal civil de l'arrondissement de l'Est vaudois une requête de mesures protectrices de l'union conjugale et d'extrême urgence. Statuant par voie de mesures superprovisionnelles le 22 juin 2012, le président du tribunal a attribué la jouissance du domicile conjugal à la requérante et fixé à</w:t>
      </w:r>
    </w:p>
    <w:p>
      <w:r>
        <w:t>- 4 - l'intimé un délai non prolongeable de huit jours pour quitter celui-ci, avec ses seuls effets personnels, enjoint les forces de l'ordre de prêter main- forte à l'épouse pour faire déguerpir l'intimé s'il n'avait pas quitté les lieux dans le délai fixé et déclaré que sa décision resterait en vigueur jusqu'à décision sur mesures protectrices de l'union conjugale. Le 14 mai 2012, N.________ s'est rendue au Centre universitaire romand de médecine légale, unité de médecine des violences, qui a constaté la présence de diverses lésions au niveau du dos, de l'abdomen et des membres supérieurs et inférieurs droits et gauches. Le 19 juin 2012, [...] a attesté qu'N.________ avait occupé une chambre meublée dans sa maison d'hôte, à Lausanne, du 8 mai au 21 juin 2012. Le 20 juin 2012, le Centre Social Régional de l'Est vaudois a certifié qu'N.________ était suivie par leur service depuis le 1er mai 2012 et qu'elle recevait une aide financière dans le cadre du Revenu d'Insertion (RI) et ceci dans les limites du minimum vital prévu par les dispositions légales. Le 18 juillet 2012, [...] a notifié à V.________ la résiliation, pour le 31 août 2012, du bail à loyer de l'appartement conjugal de 5 pièces et demie, sis chemin du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En application de l'art. 317 al. 1er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litige ne porte que sur la contribution d'entretien du conjoint, il n’est pas soumis à la maxime d’office, mais à la maxime inquisitoire limitée et à la maxime de</w:t>
      </w:r>
    </w:p>
    <w:p>
      <w:r>
        <w:t>- 8 - disposition (arrêt 5A_750/2010 du 24 janvier 2011 c. 2.1; CACI 28 juin 2012/302).</w:t>
      </w:r>
    </w:p>
    <w:p>
      <w:r>
        <w:rPr>
          <w:b/>
        </w:rPr>
        <w:t>E. 2.3</w:t>
      </w:r>
    </w:p>
    <w:p>
      <w:r>
        <w:t>En l'espèce, les parties ont produit de nouvelles pièces à l'appui de leur mémoire respectif; pour l'appelant, une copie partielle du contrat de bail à loyer conclu pour la période du 1er octobre 2012 au 1er octobre 2013, pour l'intimée, un document intitulé "Preuves des recherches personnelles effectuées en vue de trouver un emploi", dûment rempli pour les mois de juin, août et septembre 2012. Le contrat de bail à loyer de l'appelant concerne un fait postérieur à l'audience de mesures protectrices de l'union conjugale du 23 juillet 2012 et est en cela recevable. Il est néanmoins dénué de toute pertinence pour la solution du litige, dès lors que le montant de la contribution allouée n'est pas remis en cause. Quant aux documents attestant des recherches d'emploi de l'intimée, ils sont pour certains d'entre eux postérieurs à ladite audience et peuvent, dans cette mesure, être pris en considération. 3. Le seul point litigieux est le moment à partir duquel est due la contribution d'entretien et sa limitation dans le temps. L'appelant conteste la date de la première échéance des contributions d'entretien que le premier juge a fixée au 1er juin 2012. N'est pas arbitraire la fixation du dies a quo au premier jour du mois le plus proche de la séparation effective des parties (TF 5A_508/2011 du 21 novembre 2011, c. 4.2.6). En l'espèce, les parties vivent séparées depuis le 8 mai 2012. La requête de mesures protectrices et d'extrême urgence ayant été déposée le 15 mai 2012, la contribution est due dès et y compris le 1er mai</w:t>
      </w:r>
    </w:p>
    <w:p>
      <w:r>
        <w:t>- 9 - 2012, au motif qu'il s'agit là de la date la plus proche du dépôt de la requête. Partant, le moyen est mal fondé.</w:t>
      </w:r>
    </w:p>
    <w:p>
      <w:r>
        <w:rPr>
          <w:b/>
        </w:rPr>
        <w:t>E. 3</w:t>
      </w:r>
    </w:p>
    <w:p>
      <w:r>
        <w:t>Selon convention de mesures protectrices de l'union conjugale, ratifiée à l'audience du 23 juillet 2012 pour valoir prononcé, les époux se sont autorisés à vivre séparés pour une durée indéterminée et se sont donné acte du fait qu'ils ne faisaient plus ménage commun depuis le 8 mai 2012. L'épouse a déclaré qu'elle ne s'opposerait pas à une demande en divorce, voire qu'elle demanderait le divorce sur requête commune avec accord partiel.</w:t>
      </w:r>
    </w:p>
    <w:p>
      <w:r>
        <w:rPr>
          <w:b/>
        </w:rPr>
        <w:t>E. 4</w:t>
      </w:r>
    </w:p>
    <w:p>
      <w:r>
        <w:t>L'appelant conclut à ce que la contribution d'entretien soit due jusqu'à la fin décembre 2012, en arguant du fait que son épouse est en mesure de travailler et de s'assumer financièrement dès cette date. Il retranscrit les propos tenus par l'intimée à l'audience du 23 juillet 2012, au cours de laquelle l'intéressée a déclaré avoir travaillé durant dix-huit ans comme caissière ou vendeuse à la Migros, jusqu'en 2004, et a été engagée à la Coop en 2010, avant d'avoir été licenciée.</w:t>
      </w:r>
    </w:p>
    <w:p>
      <w:r>
        <w:rPr>
          <w:b/>
        </w:rPr>
        <w:t>E. 4.1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w:t>
      </w:r>
    </w:p>
    <w:p>
      <w:r>
        <w:t>- 10 -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La production d’offres d’emplois dépourvues de qualité et dans des domaines variés ne correspondant pas à ses propres qualifications ne suffit pas à démontrer l’impossibilité d’exercer une activité professionnelle (TF 5A_879/2011 du 9 mars 2012 c. 2). Les principes relatifs au revenu hypothétique valent tant pour le débiteur que pour le créancier d'entretien; un revenu hypothétique peut</w:t>
      </w:r>
    </w:p>
    <w:p>
      <w:r>
        <w:t>- 11 - en effet aussi être imputé au créancier d'entretien (TF 5A_838/2009 du 6 mai 2010, in FamPra.ch 2010 no 45 p. 669; TF 5P. 63/2006 du 3 mai 2006 c. 3.2).</w:t>
      </w:r>
    </w:p>
    <w:p>
      <w:r>
        <w:rPr>
          <w:b/>
        </w:rPr>
        <w:t>E. 4.2</w:t>
      </w:r>
    </w:p>
    <w:p>
      <w:r>
        <w:t>Le premier juge s'est contenté de constater que la crédirentière n'exerçait pas d'activité lucrative, qu'elle n'avait pas de revenus et qu'il convenait de combler son déficit avec l'excédent du débirentier.</w:t>
      </w:r>
    </w:p>
    <w:p>
      <w:r>
        <w:rPr>
          <w:b/>
        </w:rPr>
        <w:t>E. 4.3</w:t>
      </w:r>
    </w:p>
    <w:p>
      <w:r>
        <w:t>En l'occurrence, l'intimée a confirmé à l'audience du 15 octobre 2012 qu'elle entreprenait des démarches régulières afin de trouver un emploi rémunéré et a produit le document de l'assurance-chômage intitulé "Preuves des recherches personnelles effectuées en vue de trouver un emploi", dûment complété. De ce document nouvellement produit, il ressort que, sur quelque vingt offres d'emplois effectuées entre août et septembre 2012, seules trois ont été faites dans le domaine de la vente où l'intimée bénéficie d'une large expérience. Ces offres ne se sont d'ailleurs pas systématiquement butées à des fins de non-recevoir, puisque le document indique à deux reprises au moins "envoyé curriculum, en attente". Quant aux autres offres (nounou ou garde d'enfants, femme de ménage, serveuse, sommelière, cuisinière, aide de cuisine), elles ont été faites dans des domaines qui nécessitent pour la plupart d'entre eux de l'expérience ou des références, ce qui lui faisait défaut (cf. motifs de refus figurant sur les formulaires). Compte tenu de l'expérience étendue de l'intimée dans le domaine de la vente, on pouvait attendre de celle-ci qu'elle oriente d'abord ses recherches dans ce domaine d'activité, avant de se diriger vers des secteurs apparentés au sien, voire qui ne nécessitent aucune qualification particulière. En outre, la plupart des démarches entreprises l'ont été par le biais du téléphone et non par l'envoi d'un dossier de candidatures dûment étayé, avec lettre de motivation et indication des références et expériences diverses, ce qui laisse penser que l'intimée n'a pas mis toutes les chances de son côté pour retrouver du travail. On ne peut qu'en déduire que le titre produit ne suffit pas à démontrer l'impossibilité d'exercer une activité professionnelle.</w:t>
      </w:r>
    </w:p>
    <w:p>
      <w:r>
        <w:t>- 12 - Compte tenu du fait que l'intimée, âgée de quarante-neuf ans, n'a pas d'enfant mineur à charge, qu'elle est en bonne santé – le contraire ne ressort pas des actes de la cause – et qu'elle bénéficie de quelque dix- huit ans d'expérience dans le domaine de la vente, il y a lieu de considérer qu'elle est en mesure de trouver un emploi rémunéré, ce qu'elle a d'ailleurs fait avec succès en 2010 après six ans d'interruption de vie active. Il ressort de l'Annuaire statistique de la Suisse 2012 que l'intimée serait à même de réaliser, pour une activité simple et répétitive, sans formation spécifique, dans le domaine des services dans lequel elle était active, un revenu de l'ordre de 4'169 fr. (cf. Annuaire statistique de la Suisse 2012, pp. 110-111 ss/rubrique : vente de biens de consommation, vente au détail), voire de 3'950 fr. (rubrique : autres activités de service), ce qui lui permettrait de couvrir l'ensemble de ses charges incompressibles, arrêtées à 2'665 fr. 70 par le premier juge et non présentement contestées. Il convient donc de faire droit aux conclusions de l'appelant en tant qu'elles concernent la suppression de toute contribution à l'entretien de l'intimée à partir du mois de janvier 2013 et de réformer en ce sens le chiffre V du prononcé entrepris, l'intimée ayant à cette date bénéficié d'un délai non négligeable pour s'organiser (ATF 129 III 417 c. 2.2; ATF 114 II 13 c. 5).</w:t>
      </w:r>
    </w:p>
    <w:p>
      <w:r>
        <w:rPr>
          <w:b/>
        </w:rPr>
        <w:t>E. 6</w:t>
      </w:r>
    </w:p>
    <w:p>
      <w:r>
        <w:t>En conclusion, l'appel doit être partiellement admis.</w:t>
      </w:r>
    </w:p>
    <w:p>
      <w:r>
        <w:rPr>
          <w:b/>
        </w:rPr>
        <w:t>E. 7</w:t>
      </w:r>
    </w:p>
    <w:p>
      <w:r>
        <w:t>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Toutefois, en droit de la famille, le juge peut s'écarter des règles générales et répartir les frais selon sa libre appréciation, soit en équité (art. 107 al. 1 CPC).</w:t>
      </w:r>
    </w:p>
    <w:p>
      <w:r>
        <w:t>- 13 - En l'occurrence, l'appelant obtient gain de cause pour l'essentiel, puisqu'il succombe sur la seule question du point de départ des contributions, arrêté au 1er mai 2012 et non pas au 15 mai 2012, comme requis. L'intimée plaidant au bénéfice de l'assistance judiciaire, les frais judiciaires de deuxième instance, fixés à 600 fr. (art. 65 al. 2 TFJC [tarif du 28 septembre 2010 des frais judiciaires civils; RSV 270.11.5]), sont laissés à la charge de l'Etat (art. 122 al. 1 let. b CPC). Selon la liste des opérations et débours qu'il a produite, Me Jean Lob, conseil d'office de l'appelant, a consacré cinq heures à l'exercice de son mandat. Au tarif horaire de 180 fr. (art. 2 RAJ [règlement sur l'assistance judiciaire ne matière civile du 7 décembre 2010; RSV 211.02.3]), le montant de l'indemnité allouée au conseil d'office de l'appelant est de 988 fr. 20, selon le décompte suivant : 900 fr. d'honoraires (180 : 60 x 300), plus 72 fr. de TVA au taux 2011 de 8% et 15 fr. de débours, plus 1 fr. 20 de TVA (art. 3 RAJ). Sur le vu de la liste des opérations et débours qu'il a produite, Me Fabien Mingard, conseil d'office de l'intimée, a droit à une indemnité de 248 fr. 40 comprenant un défraiement de 210 fr. (180 : 60 x 70), plus 16 fr. 80 de TVA, et le remboursement de ses débours par 20 fr., plus 1 fr. 60 de TVA (art. 2 et 3 RAJ). Dans la mesure de l'art. 123 CPC, les bénéficiaires de l'assistance judiciaire sont tenus au remboursement des frais judiciaires et de l'indemnité à leur conseil d'office mis à la charge de l'Etat. L'intimée versera à l'appelant des dépens de deuxième instance, arrêtés à 1'000 francs.</w:t>
      </w:r>
    </w:p>
    <w:p>
      <w:r>
        <w:t>- 14 - Par ces motifs, la juge déléguée de la Cour d'appel civile du Tribunal cantonal, statuant à huis clos, prononce : I. L'appel est partiellement admis. II. Le prononcé est réformé au chiffre V de son dispositif comme il suit : V. astreint V.________ à contribuer à l'entretien d' N.________ N.________, par le régulier versement, d'avance le premier de chaque mois en ses mains, d'une pension mensuelle d'un montant de 830 fr. (huit cent trente francs) du 1er mai 2012 au 31 décembre 2012. Il est confirmé pour le surplus. III. Les frais judiciaires de deuxième instance, arrêtés à 600 fr. (six cents francs) pour l'intimée, sont laissés à la charge de l'Etat. IV. L'indemnité d'office de Me Jean Lob, conseil de l'appelant, est arrêtée à 988 fr. 20 (neuf cent huitante-huit francs et vingt centimes), TVA et débours compris, et celle de Me Fabien Mingard, conseil de l'intimée, à 248 fr. 40 (deux cent quarante- huit francs et quarante centimes), TVA et débours compris. V. Les bénéficiaires de l'assistance judiciaire sont tenus au remboursement des frais judiciaires et de l'indemnité à leur conseil d'office mis à la charge de l'Etat. VI. L'intimée N.________, doit verser à l'appelant V.________ la somme de 1'000 fr. à titre de dépens de deuxième instance.</w:t>
      </w:r>
    </w:p>
    <w:p>
      <w:r>
        <w:t>- 15 - VII. L'arrêt motivé est exécutoire. La juge déléguée : La greffière : Du L'arrêt qui précède, dont la rédaction a été approuvée à huis clos, est notifié à : - Me Jean Lob (pour V.________), - Me Fabien Mingard (pour 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