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JS12.011577 vom 10. Dezember 2014</w:t>
      </w:r>
    </w:p>
    <w:p>
      <w:r>
        <w:t>VD Tribunal cantonal, 2014-12-10, FR</w:t>
      </w:r>
    </w:p>
    <w:p>
      <w:r>
        <w:rPr>
          <w:b/>
        </w:rPr>
        <w:t xml:space="preserve">Quelle: </w:t>
      </w:r>
      <w:r>
        <w:t>https://mcp.opencaselaw.ch/entscheid/vd_gerichte_JS12.011577</w:t>
      </w:r>
    </w:p>
    <w:p>
      <w:r>
        <w:t>FR: VD_GERICHTE JS12.011577 du 10 décembre 2014</w:t>
      </w:r>
    </w:p>
    <w:p>
      <w:r>
        <w:t>IT: VD_GERICHTE JS12.011577 del 10 dicembre 2014</w:t>
      </w:r>
    </w:p>
    <w:p>
      <w:pPr>
        <w:pStyle w:val="Heading2"/>
      </w:pPr>
      <w:r>
        <w:t>Erwägungen</w:t>
      </w:r>
    </w:p>
    <w:p>
      <w:r>
        <w:rPr>
          <w:b/>
        </w:rPr>
        <w:t>E. 1</w:t>
      </w:r>
    </w:p>
    <w:p>
      <w:r>
        <w:t>Par décision du 22 mai 2012, le Président du Tribunal de l’arrondissement de Lausanne a accordé à A.O.________ le bénéfice de l’assistance judiciaire avec effet au 4 mai 2012 dans la cause en mesures protectrices de l’union conjugale qui l’oppose à B.O.________. Le bénéfice de l’assistance judiciaire a été accordé sous la forme d’une exonération des avances, d’une exonération des frais judiciaires et de l’assistance d’un avocat d’office en la personne de Me H.________, avocate à [...].</w:t>
      </w:r>
    </w:p>
    <w:p>
      <w:r>
        <w:rPr>
          <w:b/>
        </w:rPr>
        <w:t>E. 2</w:t>
      </w:r>
    </w:p>
    <w:p>
      <w:r>
        <w:t>Le 7 octobre 2014, H.________ a adressé au Président du Tribunal sa liste d’opérations détaillées pour la période du 30 avril 2012 au</w:t>
      </w:r>
    </w:p>
    <w:p>
      <w:r>
        <w:rPr>
          <w:b/>
        </w:rPr>
        <w:t>E. 6</w:t>
      </w:r>
    </w:p>
    <w:p>
      <w:r>
        <w:t>octobre 2014. Cette liste faisait état de 80 heures et 35 minutes consacrées au dossier ainsi que d’un montant de 821 fr. 25 à titre de débours. En d roit : 1. Le recours est recevable contre les autres décisions et ordonnances d'instruction de première instance dans les cas prévus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w:t>
      </w:r>
    </w:p>
    <w:p>
      <w:r>
        <w:t>- 4 -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CPC commenté, op. cit., n. 22 ad art. 122 CPC). Formé en temps utile par une partie qui y a un intérêt digne de protection (art. 59 al. 2 let. a CPC), le présent recours est recevable. 2. a)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t>- 5 - b) Les conclusions, les allégations de faits et les preuves nouvelles sont irrecevables (art. 326 al. 1 CPC). En l’espèce, les pièces produites par la recourante à l’appui de son recours figurent déjà au dossier de première instance. 3. a) La recourante fait valoir dans un premier moyen un défaut de motivation dans la décision entreprise, dès lors que le premier juge n’a pas indiqué les motifs qui l’ont guidé à réduire à 50 heures le temps consacré à la cause, alors que la recourante avait indiqué y avoir consacré 80 heures et 35 minutes dans sa liste d’opérations détaillées du 7 octobre 2014. b)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w:t>
      </w:r>
    </w:p>
    <w:p>
      <w:r>
        <w:t>- 6 -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7 août 2012/259 c. 4b). c) En l’espèce, le Président du Tribunal de l’arrondissement de Lausanne n’a pas exposé les raisons pour lesquelles il a réduit de 80 heures 35 à 50 heures le nombre d’heures indiquées par la recourante dans sa liste d’opérations détaillées. Il n’a pas expliqué non plus la réduction opérée sur les débours, lesquels ont été retenus à hauteur de 648 fr., alors que la liste d’opérations détaillées faisait état d’un montant de 821 fr. 25. Ce défaut de motivation constitue une violation du droit d’être entendue de la recourante, qui ne peut être réparée devant l’autorité de recours, en raison de son pouvoir de cognition restreint. Il ne serait du reste pas envisageable de se prononcer en l’état, dès lors que la Chambre de céans ignore la réalité de certains paramètres d’appréciation, tel que le degré de difficulté propre au cas d’espèce, qui doit être apprécié en premier lieu par le juge en charge du dossier et qui semble être, pour la recourante, un point non négligeable en l’espèce. En outre, la liste des opérations comporte pas moins de neuf pages et comprend un nombre important d’opérations. Il n’appartient pas à l’autorité de recours de faire le tri parmi l’ensemble des opérations pour confirmer ou infirmer le nombre d’heures avancées par l’avocate d’office, motivation à l’appui. De plus, les considérants du prononcé sont contradictoires s’agissant des débours, arrêtés une fois à 800 fr. et une autre fois à 648 fr. (600 fr. + 8% de TVA), ce montant de 648 fr. étant finalement retenu dans le dispositif.</w:t>
      </w:r>
    </w:p>
    <w:p>
      <w:r>
        <w:t>- 7 - 4. Au vu de ce qui précède, le recours doit être admis, le prononcé annulé et la cause renvoyée au Président du Tribunal de l’arrondissement de Lausanne pour nouvelle décision dans le sens des considérants. Dans la mesure où les frais judiciaires de deuxième instance, arrêtés à 100 fr. (art. 69 al. 3 TFJC [tarif des frais judiciaires civils du 28 septembre 2010 ; RSV 270.11.5]), ne sont pas imputables à la recourante, ils seront mis à la charge de l’Etat (art. 107 al. 2 CPC). Il n’y a pas matière à l’allocation de dépens, puisque l’on ne saurait ici considérer l’Etat comme une partie adverse (Tappy, CPC commenté, Bâle 2011, n. 34 ad art. 107 CPC, p. 426). Par ces motifs, la Chambre des recours civile du Tribunal cantonal, statuant à huis clos, prononce : I. Le recours est admis. II. Le prononcé est annulé et la cause est renvoyée au Président du Tribunal civil de l’arrondissement de Lausanne pour nouvelle décision dans le sens des considérants. III. Les frais judiciaires de deuxième instance, arrêtés à 100 fr. (cent francs), sont laissés à la charge de l’Etat. IV. L’arrêt motivé est exécutoire. Le président : Le greffier :</w:t>
      </w:r>
    </w:p>
    <w:p>
      <w:r>
        <w:t>- 8 - Du 11 décembre 2014 Le dispositif de l'arrêt qui précède est communiqué par écrit aux intéressés. Le greffier : Du L'arrêt qui précède, dont la rédaction a été approuvée à huis clos, est notifié en expédition complète, par l'envoi de photocopies, à : - Me H.________ La Chambre des recours civile considère que la valeur litigieuse est de 6’184 francs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