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JS11.048666 vom 23. November 2012</w:t>
      </w:r>
    </w:p>
    <w:p>
      <w:r>
        <w:t>VD Tribunal cantonal, 2012-11-23, FR</w:t>
      </w:r>
    </w:p>
    <w:p>
      <w:r>
        <w:rPr>
          <w:b/>
        </w:rPr>
        <w:t xml:space="preserve">Quelle: </w:t>
      </w:r>
      <w:r>
        <w:t>https://mcp.opencaselaw.ch/entscheid/vd_gerichte_JS11.048666</w:t>
      </w:r>
    </w:p>
    <w:p>
      <w:r>
        <w:t>FR: VD_GERICHTE JS11.048666 du 23 novembre 2012</w:t>
      </w:r>
    </w:p>
    <w:p>
      <w:r>
        <w:t>IT: VD_GERICHTE JS11.048666 del 23 novembre 2012</w:t>
      </w:r>
    </w:p>
    <w:p>
      <w:pPr>
        <w:pStyle w:val="Heading2"/>
      </w:pPr>
      <w:r>
        <w:t>Erwägungen</w:t>
      </w:r>
    </w:p>
    <w:p>
      <w:r>
        <w:rPr>
          <w:b/>
        </w:rPr>
        <w:t>E. 9</w:t>
      </w:r>
    </w:p>
    <w:p>
      <w:r>
        <w:t>Il s'ensuit que l'appel doit être rejeté dans la procédure de l'art. 312 al. 1 CPC et l'ordonnance entreprise confirmée. Les frais de justice de deuxième instance, arrêtés à 600 fr. (art. 65 al. 2 TFJC [tarif des frais judiciaires civils du 28 septembre 2010; RSV 270.11.5]), sont mis à la charge de l'appelant, qui succombe (art. 106 al. 1 CPC). Il n'y a pas lieu d'allouer des dépens de deuxième instance, dès lors que l'intimée n'a pas été invitée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M.________. IV. L'arrêt motivé est exécutoire. Le juge délégué : Le greffier :</w:t>
      </w:r>
    </w:p>
    <w:p>
      <w:r>
        <w:t>- 30 - Du 23 novembre 2012 Le dispositif de l'arrêt qui précède est communiqué par écrit aux intéressés. Le greffier : Du L'arrêt qui précède, dont la rédaction a été approuvée à huis clos, est notifié en expédition complète, par l'envoi de photocopies, à : - Me Laurent Savoy (pour M.________), - Me Philippe Ciocca (pour A.O.________).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- 31 -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