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JS11.035861 vom 23. Februar 2012</w:t>
      </w:r>
    </w:p>
    <w:p>
      <w:r>
        <w:t>VD Tribunal cantonal, 2012-02-23, FR</w:t>
      </w:r>
    </w:p>
    <w:p>
      <w:r>
        <w:rPr>
          <w:b/>
        </w:rPr>
        <w:t xml:space="preserve">Quelle: </w:t>
      </w:r>
      <w:r>
        <w:t>https://mcp.opencaselaw.ch/entscheid/vd_gerichte_JS11.035861</w:t>
      </w:r>
    </w:p>
    <w:p>
      <w:r>
        <w:t>FR: VD_GERICHTE JS11.035861 du 23 février 2012</w:t>
      </w:r>
    </w:p>
    <w:p>
      <w:r>
        <w:t>IT: VD_GERICHTE JS11.035861 del 23 febbraio 2012</w:t>
      </w:r>
    </w:p>
    <w:p>
      <w:pPr>
        <w:pStyle w:val="Heading2"/>
      </w:pPr>
      <w:r>
        <w:t>Erwägungen</w:t>
      </w:r>
    </w:p>
    <w:p>
      <w:r>
        <w:rPr>
          <w:b/>
        </w:rPr>
        <w:t>E. 43</w:t>
      </w:r>
    </w:p>
    <w:p>
      <w:r>
        <w:t>c. 2 et les réf. citées).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La jurisprudence vaudoise (JT 2011 III 43, RSPC 2011 p. 320, note approbatrice de Tappy) considère qu’en appel les novas sont soumis au régime ordinaire (en ce sens Tappy, op. cit., p. 115 ; HohI, Procédure civile, Tome Il, 2e éd., Berne 2010, n. 2410, p. 437). Les parties peuvent toutefois faire valoir que le juge de première instance a violé la maxime inquisitoire en ne prenant pas en considération certains faits (HohI, op. cit., n. 2414, p. 438). En l’espèce, l’appelante a produit diverses pièces à l’appui de son mémoire et a produit deux pièces supplémentaires lors de l’audience d’appel. S’agissant des pièces utiles à l’examen de la cause et ne figurant pas déjà au dossier de première instance, sont seuls recevables, au vu des conditions exposées ci-dessus, l’avis de prime d’assurance-maladie pour l’année 2012, les lettres de refus d’embauche postérieures à l’audience de première instance et la réservation du vol à destination du Brésil. Ces pièces ont ainsi été prises en compte dans l’établissement des faits. On ignore la teneur de la pièce produite par l’intimé lors de l’audience</w:t>
      </w:r>
    </w:p>
    <w:p>
      <w:r>
        <w:t>- 10 - d’appel, rédigée en portugais, qui n’a dès lors pas été prise en considération. 3. a) L’appelante soutient que son époux doit être astreint à lui verser une contribution d’entretien jusqu’à ce qu’elle trouve un emploi fixe. Elle fait valoir qu’elle traverse une situation financière difficile, en raison notamment de la conjoncture économique, et qu’elle souhaite trouver un emploi dans ses domaines de formation, ce qui est difficile dès lors que ses diplômes brésiliens ne sont pas reconnus. Elle allègue au surplus avoir le droit de trouver un emploi dans un domaine qui lui plaît, tout comme son époux, et attendre une situation stable sur le marché du travail. b) aa) A teneur de l’art. 176 al. 1 ch. 1 CC (Code civil suisse du 10 décembre 1907, RS 210), à la requête d’un des conjoints, et si la suspension de la vie commune est fondée, le juge fixe la contribution pécuniaire à verser par l’une des parties à l’autre. Il le fait en application de l'art. 163 al. 1 CC. Le montant de la contribution d'entretien se détermine en fonction des facultés économiques et des besoins respectifs des époux (ATF 121 I 97 c. 3b ; ATF 118 II 376 c. 20b).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 b/bb).</w:t>
      </w:r>
    </w:p>
    <w:p>
      <w:r>
        <w:t>- 11 - Lorsqu’on ne peut plus sérieusement compter sur une reprise de la vie commune, le but de rendre les époux financièrement indépendants gagne en importance et il faut dès lors se référer aux critères applicables à l’entretien après le divorce (TF 5A_710/2009 du 22 février 2010 c. 4.1 et les réf citées ; TF 5A_205/2010 c. 4.2.3, publié in FamPra.ch 2010, p. 894). Cela ne signifie cependant pas que l’art. 163 CC, selon lequel mari et femme contribuent, chacun selon ses facultés, à l’entretien convenable de la famille, ne serait plus applicable lorsque l’un des conjoints n’est pas susceptible d’obtenir une contribution après divorce. Cette disposition demeure en effet la cause de l’obligation d’entretien des époux dans le cadre de mesures protectrices de l’union conjugale. Mais comme son but impose à chacun des époux le devoir de participer, selon ses facultés, aux frais supplémentaires qu’engendre la vie séparée, il se peut que le juge doive modifier la convention conclue pour la vie commune, pour l’adapter à des faits nouveaux. C’est dans ce sens restreint que le juge doit prendre en considération, dans le cadre de l’art. 163 CC, les critères applicables à l’entretien après le divorce (art. 125 CC ; ATF 137 III 385 c. 3.1 ; TF 5A_301/2011 du 1er décembre 2011 c. 5.1 ; TF 5A_475/2011 du 12 décembre 2011 c. 4.1). En effet, le juge des mesures protectrices de l’union conjugale ne doit pas trancher, même sous l’angle de la vraisemblance, les questions de fond, objet du procès en divorce, en particulier celle de savoir si le mariage a influencé concrètement la situation financière du conjoint (TF 5A_475/2011 du 12 décembre 2011 c. 4.1 ; ATF 137 III 385 c. 3.1). bb) Selon la jurisprudence, le juge fixe les contributions d'entretien en se fondant, en principe, sur le revenu effectif des parties. Il peut toutefois s'en écarter et retenir un revenu hypothétique supérieur, pour autant qu'une augmentation correspondante (ou une non-diminution) de revenu soit effectivement possible et qu'elle puisse raisonnablement être exigée de l’époux concerné (TF 5A_736/2008 du 30 mars 2009 c. 4; ATF 128 III 4 c. 4, JT 2002 I 294 c. 4 et les réf. citées). La prise en compte d'un revenu hypothétique ne revêt pas un caractère pénal ; il s’agit simplement d’inciter la personne à réaliser le revenu qu’elle est en mesure de se procurer et – cumulativement (ATF 137 III 118 c. 2.3) – dont on peut</w:t>
      </w:r>
    </w:p>
    <w:p>
      <w:r>
        <w:t>- 12 - raisonnablement exiger d’elle qu’elle l’obtienne afin de remplir ses obligations (ATF 128 III 4 c. 4a ;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(ATF 128 III 4 précité c. 4a ; ATF 129 III 577; TF 5A_685/2007 du 26 février 2008 c. 2.3 ; TF 5A_170/2007 du 27 juin 2007 c. 3.1)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 il s’agit-là d’une question de fait (ATF 128 III 4 c. 4c/bb ; ATF 126 III 10 c. 2b). Pour arrêter le montant du salaire, le juge peut éventuellement se baser sur l’enquête suisse sur la structure des salaires, réalisée par l’Office fédéral de la statistique, ou sur d’autres sources (conventions collectives de travail ; Mühlhauser, Das Lohnbuch 2010, Mindestlöhne sowie orts- und berufübliche Löhne in der Schweiz, Zurich 2010 ; cf. ATF 137 III 118 c. 3.2 ; TF 5A_99/2011 précité c. 7.4.1). Ces principes valent tant pour le débiteur que pour le créancier d’entretien. Un revenu hypothétique peut en effet aussi être imputé au créancier d'entretien, s'agissant de statuer sur une contribution d'entretien dans le cadre d'une procédure de mesures protectrices de l'union conjugale ou provisionnelles (TF 5P.63/2006 du 3 mai 2006 c. 3.2 ; TF 5P.112/2001 du 27 août 2001, c. 5e ; TF 5P.90/2002 du 1er juillet 2002, c. 4b).</w:t>
      </w:r>
    </w:p>
    <w:p>
      <w:r>
        <w:t>- 13 - c) En l’espèce, le premier juge, se référant implicitement à la jurisprudence du Tribunal fédéral publiée aux ATF 128 III 65, a estimé que le principe du clean break trouvait application et qu’il excluait l’octroi d’une pension à l’appelante, au motif notamment que la vie commune n’était plus envisageable, que le mariage avait été de courte durée et que les parties avaient toujours été indépendantes durant leur mariage. Ce faisant, le premier juge a méconnu que l'art. 163 CC demeurait fondamentalement la cause de l'obligation d'entretien dans le cadre des mesures protectrices de l'union conjugale et qu'il ne devait pas préjuger des questions de fond objet du procès en divorce, notamment celle de savoir si le mariage avait influencé concrètement la situation financière du conjoint. Le premier juge aurait ainsi dû, sur le principe, entrer en matière sur l'octroi d'une contribution d'entretien au stade des mesures protectrices de l’union conjugale, même si l'on ne peut plus, comme en l'espèce, compter sérieusement sur la reprise de la vie commune. Il y a dès lors lieu d’examiner si, en application de la méthode dite du minimum vital avec réparation de l’excédent, l’appelante a droit à une contribution d’entretien. Il a été retenu ci-dessus que l’intimé disposait d’un solde mensuel de 2'766 fr. 65. On relèvera que l’éventuelle charge fiscale n’a pas été retenue, dès lors que l’intimé n’a pas allégué une telle charge ni développé la moindre argumentation à ce sujet et qu’au demeurant, il n’a produit aucune pièce démontrant qu’il avait acquitté les impôts courants. Après avoir réalisé un revenu de 3'260 fr. jusqu’en septembre 2009 et épuisé son droit aux indemnités de l’assurance-chômage par 2'680 fr. par mois jusqu’en mars 2011, l’appelante n’a réalisé qu’un revenu mensuel moyen de 1'133 fr. 80 entre juin et novembre 2011. Il est vrai que l’appelante n’a obtenu qu’un diplôme postgrade en Suisse et qu’elle ne parle qu’imparfaitement le français. Cela étant, l’appelante ne saurait se contenter de rechercher un emploi dans les domaines de la petite enfance ou du travail social, comme elle l’a fait jusque là. Elle ne saurait non plus limiter ses recherches aux seuls domaines qui lui plaisent,</w:t>
      </w:r>
    </w:p>
    <w:p>
      <w:r>
        <w:t>- 14 - comme elle le soutient dans son appel. Au contraire, on peut exiger de l’appelante, qui est âgée de 44 ans et est en bon état de santé, qu’elle trouve un emploi dans d’autres secteurs économiques, si nécessaire dans ceux ne nécessitant aucune qualification particulière, par exemple dans la grande distribution. Selon l’indicateur du niveau des salaires en Suisse de l’Office fédéral de la statistique, le salaire moyen d’une femme sans formation exerçant une activité répétitive dans le domaine de la vente s’élève, dans le canton de Vaud, à 3'940 fr. brut par mois, soit un revenu mensuel moyen de l’ordre de 3'500 francs. Au vu des possibilités effectives d’exercer un tel emploi et des aptitudes de l’appelante, il y a lieu d’imputer à celle-ci un revenu hypothétique de 3'500 francs. Compte tenu de ses charges incompressibles et du montant de base de minimum vital, l’appelante dispose par conséquent d’un solde mensuel hypothétique de 949 fr. 80 (3'500 fr. ./. 1'350 fr. 20 ./. 1'200 fr.). Au vu de ce qui précède, et en procédant à un partage par moitié du disponible des époux dès lors qu’aucun motif ne plaide en l’espèce pour un partage différent, l’appelante a droit à une contribution d’entretien mensuelle de 908 fr. 45 ([2'766 fr. 65 + 949 fr. 80] / 2 ./. 949 fr. 80), montant que l’on arrondira à 900 francs. La requête ayant été déposée le 27 septembre 2011, celle-ci est donc due à partir du 1er octobre 2011. Cela étant, dès lors que l’appelante a fait valoir qu’elle entendait quitter la Suisse en mars 2012 pour privilégier une carrière professionnelle au Brésil, une telle contribution d’entretien ne sera plus due au-delà de fin mars 2012. Au stade de la vraisemblance, on doit en effet considérer que l’appelante, qui dispose d’une double formation universitaire accomplie au Brésil ainsi que d’un DEA en droit international, qui bénéficie d’une longue expérience professionnelle dans ce pays et qui parle trois langues, dont la langue nationale, pourra réaliser un revenu lui permettant de subvenir à son entretien tout en disposant d’un solde mensuel comparable à celui de son époux, compte tenu du niveau de vie au Brésil. On relèvera en outre que l’appelante dispose de deux appartements dans ce pays et qu’elle pourra, le cas échéant, en occuper</w:t>
      </w:r>
    </w:p>
    <w:p>
      <w:r>
        <w:t>- 15 - un, ce qui lui permettra de réduire ses charges incompressibles, si bien que sa situation financière s’en trouvera améliorée. 4. En conclusion, l’appel est partiellement admis et l’ordonnance réformée en ce sens que la requête est partiellement admise et que l’intimé contribuera à l’entretien de l’appelante par le versement en ses mains d’une pension mensuelle de 900 fr. d’octobre 2011 à mars 2012 y compris. Les frais de deuxième instance, arrêtés à 600 fr. (art. 65 al. 2 TFJC [Tarif des frais judiciaires civils du 28 septembre 2010, RS 270.11.5]), sont mis à la charge de l’intimé qui succombe pour l’essentiel (art. 106 al. 1 CPC). L’appelante ayant procédé sans l’assistance d’un mandataire et ayant été exonérée d’avance de frais, il n’y a pas matière à l’allocation de dépens de deuxième instance. Par ces motifs, le juge délégué de la Cour d’appel civile du Tribunal cantonal, statuant à huis clos, prononce : I. L’appel est partiellement admis. II. L’ordonnance est réformée au chiffre I et complétée par un chiffre Ibis comme il suit : I. La requête du 27 septembre 2011 de A.B.________ est partiellement admise. Ibis. B.B.________ contribuera à l’entretien de A.B.________ par le versement en ses mains d’une pension mensuelle de</w:t>
      </w:r>
    </w:p>
    <w:p>
      <w:r>
        <w:t>- 16 - 900 fr. (neuf cent francs) d’octobre 2011 à mars 2012 y compris. L’ordonnance est confirmée pour le surplus. III. Les frais judiciaires de deuxième instance, arrêtés à 600 fr. (six cents francs), sont mis à la charge de l’intimé B.B.________. IV. L’arrêt est exécutoire. Le juge délégué : Le greffier : Du L'arrêt qui précède, dont la rédaction a été approuvée à huis clos, est notifié en expédition complète, par l'envoi de photocopies à : - Mme A.B.________ - Me Stefan Graf (pour B.B.________)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- 17 -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