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JS11.034998 vom 20. Dezember 2011</w:t>
      </w:r>
    </w:p>
    <w:p>
      <w:r>
        <w:t>VD Tribunal cantonal, 2011-12-20, FR</w:t>
      </w:r>
    </w:p>
    <w:p>
      <w:r>
        <w:rPr>
          <w:b/>
        </w:rPr>
        <w:t xml:space="preserve">Quelle: </w:t>
      </w:r>
      <w:r>
        <w:t>https://mcp.opencaselaw.ch/entscheid/vd_gerichte_JS11.034998</w:t>
      </w:r>
    </w:p>
    <w:p>
      <w:r>
        <w:t>FR: VD_GERICHTE JS11.034998 du 20 décembre 2011</w:t>
      </w:r>
    </w:p>
    <w:p>
      <w:r>
        <w:t>IT: VD_GERICHTE JS11.034998 del 20 dicembre 2011</w:t>
      </w:r>
    </w:p>
    <w:p>
      <w:pPr>
        <w:pStyle w:val="Heading2"/>
      </w:pPr>
      <w:r>
        <w:t>Erwägungen</w:t>
      </w:r>
    </w:p>
    <w:p>
      <w:r>
        <w:rPr>
          <w:b/>
        </w:rPr>
        <w:t>E. 4</w:t>
      </w:r>
    </w:p>
    <w:p>
      <w:r>
        <w:t>a) L’instance d’appel peut administrer des preuves (art. 316 al. 3 CPC).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JT 2010 III 138). Il appartient à l'appelant de démontrer que ces conditions sont réalisées, de sorte que l'appel doit indiquer spécialement de tels faits et preuves nouveaux et motiver spécialement les raisons qui les rendent admissibles selon lui (Tappy, op. cit., JT 2010 III 136-137). La doctrine est divisée sur le point de savoir si la maxime inquisitoire, applicable en mesures protectrices de l'union conjugale (art. 272 CPC) est applicable également en appel et si des faits et moyens de preuves nouveaux sont dès lors admissibles en deuxième instance même si les conditions restrictives de l'art. 317 al. 1 CPC ne sont pas réalisées. Certains auteurs considèrent que l'art. 229 al. 3 CPC devrait s'appliquer</w:t>
      </w:r>
    </w:p>
    <w:p>
      <w:r>
        <w:t>- 9 - par analogie (Hofmann/Lüscher, Le code de procédure civile p. 197; Spühler, Basler Kommentar, n. 7 ad art. 317 CPC; Reetz/Hilber, op. cit. n. 14 et 16 ad art. 317 CPC). La jurisprudence vaudoise (JT 2011 III 43), à la suite d'un courant doctrinal (Tappy, op. cit., JT 2010 III 115; Hohl, Procédure civile, Tome II, 2e éd., no 2410 p. 437) considère que les novas sont soumis au régime ordinaire, mais les parties peuvent toutefois faire valoir que le juge de première instance a violé la maxime inquisitoire en ne prenant pas en considération certains faits (Hohl, op. cit., no 2414 p. 438). Des novas peuvent par ailleurs être en principe librement introduits en appel dans les causes régies par la maxime d'office, par exemple sur la situation des enfants mineurs en droit matrimonial (Tappy, op. cit., JT 2010 III 139), à tout le moins lorsque le juge de première instance a violé la maxime inquisitoire illimitée (Hohl, op. cit., no 2415 p. 438; sur le tout: JT 2011 III 43). b) En l'espèce, la pièce nouvelle (n° 3) produite par l'appelante, l'a été sans retard. Etablie postérieurement à l'audience de mesures protectrices du 7 octobre 2011, elle vise à préciser les modalités de transport des enfants entre le domicile de l'appelante et l'établissement [...] à [...], fréquenté par ceux-ci. Dans ces conditions, cette pièce sera tenue pour recevable.</w:t>
      </w:r>
    </w:p>
    <w:p>
      <w:r>
        <w:rPr>
          <w:b/>
        </w:rPr>
        <w:t>E. 5</w:t>
      </w:r>
    </w:p>
    <w:p>
      <w:r>
        <w:t>a) L'appelante fait valoir que l'attribution de la garde des enfants à leur père est insuffisamment motivée, que son propre état de santé s'est amélioré ou ne met pas les enfants en péril, qu'elle est plus disponible que leur père pour les prendre en charge, qu'en raison du partage des rôles familiaux elle s'est davantage occupée d'eux, qu'elle a toujours favorisé les contacts des enfants avec leur père, que le cadre de vie qu'elle offre à [...] est favorable aux enfants. b) Selon l'art. 176 al. 3 CC, relatif à l'organisation de la vie séparée, lorsque les époux ont des enfants mineurs, le juge ordonne les mesures nécessaires d'après les dispositions sur les effets de la filiation (art. 273 ss CC).</w:t>
      </w:r>
    </w:p>
    <w:p>
      <w:r>
        <w:t>- 10 - Pour l'attribution de la garde ainsi que pour fixer les modalités du droit de visite à l'autre parent, le critère prépondérant réside dans le bien de l'enfant. Les principes développés dans ce domaine pour le divorce sont applicables par analogie. Il peut être tenu compte de l'avis de l'enfant. Dans le but d'assurer aux enfants une stabilité et un développement harmonieux, on privilégiera le maintien du modèle de mariage adopté par les époux du temps de la vie commune : la garde sera ainsi attribuée de préférence à l'époux qui consacrait le plus de son temps à l'éducation et aux soins des enfants. Un garde alternée n'est envisageable que si les parents sont d'accord et ont pris toutes les mesures pour régler les aspects pratiques de manière à préserver le bien de l'enfant (François Chaix, in Pichonnaz/Foëx (éd.), Commentaire romand, Code civil I, 2010, n. 19 ad art. 176 CC). c) Le premier juge a constaté que les deux parents paraissaient présenter les capacités éducatives nécessaires pour s'occuper des enfants, mais que s'agissant d'un régime provisoire, il convenait de stabiliser leur situation et donc d'attribuer la garde au père. d) En l'espèce, les enfants sont demeurés avec leur mère lorsque les parties se sont séparées en été 2010. L'appelante est suivie par un psychiatre et un psychothérapeute. Elle a admis qu'un nouvel épisode dépressif l'avait contrainte à l'hospitalisation le [...]. C'est dans ces circonstances que l'intimé a pris les enfants en charge au quotidien et que ceux-ci vivent désormais auprès de lui. Les enfants ont ainsi vécu coup sur coup la séparation de leurs parents, la sérieuse détérioration de la santé de leur mère nécessitant des soins hospitaliers et leur prise en charge par leur père. Jusqu'à ce qu'on dispose d'un rapport du SPJ et que l'on soit fixé sur l'opportunité de confier durablement leur garde à l'un plutôt qu'à l'autre de leurs représentant légaux, il se justifie de ne pas les exposer à de nouveaux chamboulements ou à des revirements brutaux de leurs conditions de vie susceptibles de les insécuriser davantage, la stabilité devant être privilégiée. De même, il est nécessaire d'en savoir plus sur l'état de santé de l'appelante, sa capacité, soulignée par son</w:t>
      </w:r>
    </w:p>
    <w:p>
      <w:r>
        <w:t>- 11 - médecin, de requérir de l'aide en phase décompensée de ses troubles n'étant pas à elle seule déterminante, dès lors que l'intérêt des enfants semble commander en règle générale de leur éviter de subir et d'être confrontés, déjà dans la phase préalable à cet état de crise, aux symptômes dépressifs que leur mère pourrait manifester au quotidien. De plus, l'appelante allègue chercher du travail, ce qui implique, compte tenu notamment de son état de santé et des soins en cours, une réduction sensible de sa disponibilité parentale, disponibilité susceptible de diminuer encore si elle débute une activité professionnelle à l'essai. Par conséquent, dans cette période intermédiaire, l'attribution de la garde au père repose sur un motif à la fois décisif par rapport à ceux avancés par l'appelante et pertinent, si bien que cette attribution provisoire doit être confirmée. L'appel doit être rejeté sur ce point.</w:t>
      </w:r>
    </w:p>
    <w:p>
      <w:r>
        <w:rPr>
          <w:b/>
        </w:rPr>
        <w:t>E. 6</w:t>
      </w:r>
    </w:p>
    <w:p>
      <w:r>
        <w:t>a) L'appelante revendique encore, en cas de confirmation en appel de l'attribution de la garde au père, un droit de visite identique à celui défini à l'époque de la séparation en été 2010, soit, à défaut d'entente, du samedi soir à 19 h 30 au mardi après-midi à 15 h 30 et du mardi soir à 19 h 30 au jeudi soir à 19 h 15. En dépit de sa formulation équivoque, cette conclusion doit vraisemblablement se comprendre comme calquée sur le chiffre IV du dispositif en ce sens qu'il s'agit de durées non pas cumulées, mais alternées d'une semaine à la suivante. b) Selon l'art. 273 al. 1 CC, le père ou la mère qui ne détient pas l'autorité parentale ou la garde ainsi que l'enfant mineur ont réciproquement le droit d'entretenir les relations personnelles indiquées par les circonstances. La pratique romande d'un week-end sur deux est qualifiée de large en doctrine par rapport à celle d'outre Sarine (Audrey Leuba, in Pichonnaz/Foëx (éd.), Commentaire romand, Code civil I, 2010, n° 16 ad</w:t>
      </w:r>
    </w:p>
    <w:p>
      <w:r>
        <w:t>- 12 - art. 273 CC ; Stettler, Droit de la filiation, 4ème éd., Genève, 2009, n° 703). Il faut donc des circonstances particulières pour aller au-delà du droit de visite usuel (Hegnauer, Droit suisse de la filiation, n° 19.16, p. 114). c) En l'espèce, s'agissant d'un régime subsidiaire ne devant se mettre en place qu'à défaut d'entente entre les parties, étendre le droit de visite conformément aux conclusions de l'appelante reviendrait à instituer une forme de garde alternée, ce qui ne serait pas conforme à l'objectif visé de stabilisation. De plus, le fait que l'appelante dispose d'un logement spacieux, de temps pour accueillir ses enfants, ainsi que d'une solution de transport entre son domicile et leur école ne présente pas de particularité suffisante pour se convaincre que l'intérêt des enfants nécessiterait d'élargir le droit de visite comme requis. Enfin, à supposer que les parties aient adopté une garde alternée avant de saisir le juge des mesures protectrices de l'union conjugale, on doit constater que cet accord n'existe plus à l'heure actuelle et que ce désaccord ne permet pas d'imposer sans autre l'ancien régime consensuel. L'appel doit être rejeté sur ce point.</w:t>
      </w:r>
    </w:p>
    <w:p>
      <w:r>
        <w:rPr>
          <w:b/>
        </w:rPr>
        <w:t>E. 7</w:t>
      </w:r>
    </w:p>
    <w:p>
      <w:r>
        <w:t>La confirmation de l'attribution de la garde des enfants à l'intimé et de l'étendue du droit de visite prive d'objet la conclusion non chiffrée en fixation de l'entretien global de l'épouse et des enfants confiés à sa garde.</w:t>
      </w:r>
    </w:p>
    <w:p>
      <w:r>
        <w:rPr>
          <w:b/>
        </w:rPr>
        <w:t>E. 8</w:t>
      </w:r>
    </w:p>
    <w:p>
      <w:r>
        <w:t>En conclusion, manifestement infondé, l'appel doit être rejeté en application de l'art. 312 al. 1 CPC et le prononcé confirmé.</w:t>
      </w:r>
    </w:p>
    <w:p>
      <w:r>
        <w:rPr>
          <w:b/>
        </w:rPr>
        <w:t>E. 9</w:t>
      </w:r>
    </w:p>
    <w:p>
      <w:r>
        <w:t>La requête d'assistance judiciaire doit être admise, l'appel n'apparaissant pas d'emblé dépourvu de toutes chances de succès (art. 117 CPC).</w:t>
      </w:r>
    </w:p>
    <w:p>
      <w:r>
        <w:t>- 13 - Les frais judiciaires de deuxième instance, fixés à 600 fr. (art. 65 al. 2 TFJC [tarif des frais judiciaires civils du 28 septembre 2010; RSV 270.11.5]), sont laissés à la charge de l'Etat (art. 106 al. 1 CPC). Dans une liste d'opérations du 19 décembre 2011, Me Franck- Olivier Karlen, conseil de la requérante, a fait état de neuf heures et cinquante minutes de travail et de 15 fr. de débours pour la période du 10 novembre au 16 décembre 2011. L'appel étant daté du 21 novembre 2011 et l'argumentation qu'il comporte tenant sur trois pages, le temps indiqué, constitué apparemment de courriels et de communications sans réelle portée juridique, est excessif et doit être ramené en équité à cinq heures, plus débours et TVA, soit 973 fr. 20 (180 fr. x 5 = 900 fr.) + 15 fr. = 915 fr. + (915 fr. x 8 % = 73 fr. 20). Il n'y a pas lieu d'accorder des dépens à l'intimé, dès lors que celui-ci n'a pas été invité à se déterminer. Par ces motifs, le juge délégué de la Cour d’appel civile du Tribunal cantonal, statuant à huis clos, en application de l'art. 312 al. 1 CPC, prononce : I. L'appel est rejeté. II. Le prononcé est confirmé.</w:t>
      </w:r>
    </w:p>
    <w:p>
      <w:r>
        <w:t>- 14 - III. La requête d'assistance judiciaire est admise. IV. Les frais judiciaires de deuxième instance, arrêtés à 600 fr. (six cents francs), sont laissés à la charge de l'Etat. V. L'indemnité d'office de Me Franck-Olivier Karlen, conseil de l'appelante H.K.________, est arrêtée à 900 fr. (neuf cents francs), plus 73 fr. 20 (septante-trois francs et vingt centimes) de TVA et 15 fr. (quinze francs) de débours. VI. La bénéficiaire de l'assistance judiciaire est, dans la mesure de l'art. 123 CPC, tenue au remboursement des frais judiciaires et de l'indemnité au conseil d'office mis à la charge de l'Etat. VII. L'arrêt motivé est exécutoire. Le juge délégué : La greffière : Du 21 décembre 2011. Le dispositif de l'arrêt qui précède est communiqué par écrit aux intéressés. La greffière :</w:t>
      </w:r>
    </w:p>
    <w:p>
      <w:r>
        <w:t>- 15 - Du L'arrêt qui précède, dont la rédaction a été approuvée à huis clos, est notifié en expédition complète, par l'envoi de photocopies à : - Me Franck-Olivier Karlen (pour H.K.________), - Me Jean-Paul Maire (pour A.K.________).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