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JS11.033777 vom 6. März 2013</w:t>
      </w:r>
    </w:p>
    <w:p>
      <w:r>
        <w:t>VD Tribunal cantonal, 2013-03-06, FR</w:t>
      </w:r>
    </w:p>
    <w:p>
      <w:r>
        <w:rPr>
          <w:b/>
        </w:rPr>
        <w:t xml:space="preserve">Quelle: </w:t>
      </w:r>
      <w:r>
        <w:t>https://mcp.opencaselaw.ch/entscheid/vd_gerichte_JS11.033777</w:t>
      </w:r>
    </w:p>
    <w:p>
      <w:r>
        <w:t>FR: VD_GERICHTE JS11.033777 du 6 mars 2013</w:t>
      </w:r>
    </w:p>
    <w:p>
      <w:r>
        <w:t>IT: VD_GERICHTE JS11.033777 del 6 marzo 2013</w:t>
      </w:r>
    </w:p>
    <w:p>
      <w:pPr>
        <w:pStyle w:val="Heading2"/>
      </w:pPr>
      <w:r>
        <w:t>Erwägungen</w:t>
      </w:r>
    </w:p>
    <w:p>
      <w:r>
        <w:rPr>
          <w:b/>
        </w:rPr>
        <w:t>E. 3</w:t>
      </w:r>
    </w:p>
    <w:p>
      <w:r>
        <w:t>L'appelant conteste le montant de la pension allouée aux siens et explique qu'il est d'accord de payer 400 fr. par mois.</w:t>
      </w:r>
    </w:p>
    <w:p>
      <w:r>
        <w:t>- 9 - 3.1.1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c.3.2 et réf.). 3.1.2 D'après l'art. 176 al. 1 ch. 1 CC, le juge fixe la contribution pécuniaire qui et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la fixation de la contribution d'entretien ne devant pas anticiper sur la liquidation du régime matrimonial. Lorsque les parties sont dans une situation financière matérielle favorable, il convient de se fonder sur les dépenses indispensables au maintien des conditions de vie antérieures, qui constitue la limite supérieure du droit à l'entretien. Dans les autres cas, le juge peut appliquer la méthode dite du minimum vital avec répartition de l'excédent, qui consiste à évaluer les ressources respectives des conjoints,</w:t>
      </w:r>
    </w:p>
    <w:p>
      <w:r>
        <w:t>- 10 -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élaborés par la Conférence des préposés aux poursuites et faillite de Suisse, les frais de logement, les coûts de santé (avant tout les primes d'assurance maladie obligatoire) et les frais de déplacement, s'ils sont indispensables à l'exercice de la profession (François Chaix, in : Pichonnaz/Foëx (éd.), Commentaire romand, Code civil I, 2010, n. 9 ad art. 176 CC et les références citées).</w:t>
      </w:r>
    </w:p>
    <w:p>
      <w:r>
        <w:rPr>
          <w:b/>
        </w:rPr>
        <w:t>E. 3.2</w:t>
      </w:r>
    </w:p>
    <w:p>
      <w:r>
        <w:t>; TF 5A_170/2007 du 27 juin 2007 c. 4, in FamPra.ch 2007 p. 895 et les références). Par conséquent, on ne saurait réduire le montant de la pension au motif que celle-ci entraînerait une diminution des prestations de l'aide sociale. Concernant les charges, on peut relever que le premier juge a procédé conformément à la jurisprudence du Tribunal fédéral (cf. c. 3.1.2). En effet, il s'est fondé, à juste titre, sur le minimum vital du droit des poursuites qu'il a élargi des dépenses incompressibles de chacun des époux. Par ailleurs, compte tenu du disponible de l'appelant, par 1'765 fr.</w:t>
      </w:r>
    </w:p>
    <w:p>
      <w:r>
        <w:t>- 12 - 95, ce dernier est tout à fait en mesure d'assumer non seulement le montant de la pension par 600 fr., mais également les frais liés à un éventuel droit de visite élargi ainsi que d'éventuelles autres charges, son disponible après versement de la pension contestée le lui permettant.</w:t>
      </w:r>
    </w:p>
    <w:p>
      <w:r>
        <w:rPr>
          <w:b/>
        </w:rPr>
        <w:t>E. 3.3</w:t>
      </w:r>
    </w:p>
    <w:p>
      <w:r>
        <w:t>Les charges incompressibles de T.________ totalisent 2'754 fr. 95. Elles comprennent une base mensuelle d'entretien pour un adulte vivant seul de 1'200 fr., un supplément de 150 fr. pour l'exercice du droit de visite, des frais de logement par 856 fr. et les cotisations pour l'assurance maladie obligatoire par 548 fr. 95. Il en résulte un disponible de 1'765 fr. 95 (4'520 fr. 90 - 2'754 fr. 95).</w:t>
      </w:r>
    </w:p>
    <w:p>
      <w:r>
        <w:t>- 11 - Les charges incompressibles de J.________ comprennent, pour un total de 4'305 fr., une base mensuelle pour un débiteur monoparental de 1'350 fr., la base mensuelle pour une enfant de plus de dix ans (600 fr.), celle pour un enfant de moins de dix ans (400 fr.), des frais de logement (1'660 fr. de charges hypothécaires), les primes d'assurance maladie (145 fr.) et des frais de transport (150 fr). Il manque ainsi à l'intimée un montant de 4'305 fr. par mois pour équilibrer son budget.</w:t>
      </w:r>
    </w:p>
    <w:p>
      <w:r>
        <w:rPr>
          <w:b/>
        </w:rPr>
        <w:t>E. 3.4</w:t>
      </w:r>
    </w:p>
    <w:p>
      <w:r>
        <w:t>L'appelant explique qu'il n'a pas été tenu compte de ses charges telles que figurant dans son courrier du 27 novembre 2012, qu'il participe déjà à l'entretien des enfants, dès lors qu'il en a la garde élargie, et que le montant de la pension octroyée mettra tout le monde dans une situation financière encore plus pénible, dès lors que cette somme sera déduite de l'aide sociale perçue par son épouse. Ces griefs doivent être rejetés pour les motifs suivants. S'agissant de l'aide que l'intimée perçoit de l'assistance publique, il convient de relever que celle-ci est subsidiaire par rapport aux obligations d'entretien du droit de la famille.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w:t>
      </w:r>
    </w:p>
    <w:p>
      <w:r>
        <w:rPr>
          <w:b/>
        </w:rPr>
        <w:t>E. 4</w:t>
      </w:r>
    </w:p>
    <w:p>
      <w:r>
        <w:t>En définitive, l'appel doit être rejeté. L'appel était dénué de chances de succès, si bien que la requête d'assistance judiciaire de T.________ doit être rejetée (art. 117 CPC), et les frais judiciaires, arrêtés à 600 fr. (art. 65 al. 3 TFJC (tarif des frais judiciaires civils du 28 septembre 2010; RSV 270.11.5]) mis à sa charge. Il n'y a pas lieu d'allouer de dépens à la partie intimée, qui n'a pas été invitée à se déterminer. Par ces motifs, la juge déléguée de la Cour d'appel civile du Tribunal cantonal, statuant à huis clos, en application de l'art. 312 al. 1 CPC, prononce : I. L'appel est rejeté. II. La décision est confirmée. III. La requête d'assistance judiciaire est rejetée. IV. Les frais judiciaires de deuxième instance, arrêtés à 600 fr. (six cents francs), sont mis à la charge de l'appelant T.________.</w:t>
      </w:r>
    </w:p>
    <w:p>
      <w:r>
        <w:t>- 13 - V. L'arrêt motivé est exécutoire. La juge déléguée : Le greffier : Du 6 mars 2013 Le dispositif de l'arrêt qui précède est communiqué par écrit aux intéressés. Le greffier : Du L'arrêt qui précède, dont la rédaction a été approuvée à huis clos, est notifié en expédition complète, par l'envoi de photocopies à : - M. T.________, - Me Martine Dang (pour J.________). Le juge délégué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