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JS11.030162 vom 22. November 2011</w:t>
      </w:r>
    </w:p>
    <w:p>
      <w:r>
        <w:t>VD Tribunal cantonal, 2011-11-22, FR</w:t>
      </w:r>
    </w:p>
    <w:p>
      <w:r>
        <w:rPr>
          <w:b/>
        </w:rPr>
        <w:t xml:space="preserve">Quelle: </w:t>
      </w:r>
      <w:r>
        <w:t>https://mcp.opencaselaw.ch/entscheid/vd_gerichte_JS11.030162</w:t>
      </w:r>
    </w:p>
    <w:p>
      <w:r>
        <w:t>FR: VD_GERICHTE JS11.030162 du 22 novembre 2011</w:t>
      </w:r>
    </w:p>
    <w:p>
      <w:r>
        <w:t>IT: VD_GERICHTE JS11.030162 del 22 novembre 2011</w:t>
      </w:r>
    </w:p>
    <w:p>
      <w:pPr>
        <w:pStyle w:val="Heading2"/>
      </w:pPr>
      <w:r>
        <w:t>Erwägungen</w:t>
      </w:r>
    </w:p>
    <w:p>
      <w:r>
        <w:rPr>
          <w:b/>
        </w:rPr>
        <w:t>E. 28</w:t>
      </w:r>
    </w:p>
    <w:p>
      <w:r>
        <w:t>CO; Schwenzer, Basler Kommentar, 3e éd., 2002, n. 26 ad art. 28 CO). Il n'est pas nécessaire que la tromperie provoque une erreur essentielle; il suffit que sans l'erreur, la dupe n'eût pas conclu le contrat ou ne l'eût pas conclu aux mêmes conditions (arrêt du Tribunal fédéral du 22 juin 2007 dans la cause 4C.44/2007 c. 3; ATF 132 II 161 c. 4.1; Schmidlin, Commentaire romand précité, n. 5 ad art. 28 CO). c) En l'espèce, la thèse de l'appelante, selon laquelle l'intimé aurait interdit aux enfants, sous la menace, de dire à la présidente qu'il avait frappé et menacé leur mère, et leur aurait ordonné de déclarer que leur garde devait lui être confiée, est battue en brèche par l'examen du procès-verbal de l'audition des enfants. Tant W.________ que P.________ expriment leurs opinions de manière nuancée et il paraît manifeste, à la lecture de certaines phrases, qu'ils ont été libres de faire valoir leur point de vue. Tout d'abord, la version de l'un des parents n'est aucunement privilégiée, puisque les enfants affirment tous deux que leurs parents se disputent régulièrement, invoquant des coups et des insultes réciproques. Il résulte aussi de leurs déclarations que les enfants doivent souvent s'interposer pour que les disputes cessent. De plus, tant P.________ que W.________ expliquent de manière claire pourquoi ils souhaitent vivre auprès de leur père, invoquant notamment l'aide qu'il leur apporte pour les devoirs. Enfin, ils soulignent qu'ils souhaitent rester ensemble, ce qui montre aussi qu'ils ont pu prendre en compte les intérêts de la fratrie. En définitive, les déclarations des enfants ne révèlent pas le moindre indice que ceux-ci auraient été manipulés de manière à s'exprimer contrairement à leur volonté. Le dol invoqué par l'appelante est ainsi inexistant. Mal fondé, ce moyen doit être rejeté. 4.4. a) L'appelante invoque enfin avoir contracté cette convention alors qu'elle se trouvait sous l'empire d'une crainte fondée au sens de l'art. 30 al. 1 CO, en raison des graves menaces proférées par l'intimé à son encontre les jours précédant l'audience.</w:t>
      </w:r>
    </w:p>
    <w:p>
      <w:r>
        <w:t>- 14 - b) Vice du consentement, la crainte fondée est celle qu’une personne – partie ou tiers – inspire à une autre, intentionnellement et sans droit, pour la déterminer à faire une déclaration de volonté. La cause de la crainte est la menace d’un mal futur dans l’hypothèse d’un refus d’obtempérer; elle vicie la volonté au stade de sa formation (Engel, op. cit., p. 363). Pour qu’un contrat – ou une déclaration de volonté – soit invalidé au titre de la crainte fondée, quatre conditions doivent être réunies : une menace dirigée sans droit contre une partie ou l’un de ses proches, la crainte fondée qui en résulte, l’intention de l’auteur de la menace de déterminer le destinataire à faire une déclaration de volonté et le lien de causalité entre la crainte et le consentement (ATF 111 II 349 c. 2, résumé in JT 1986 I 249). c) En l'espèce, rien au dossier ne permet de retenir que l'appelante aurait signé la convention sous l'empire d'une crainte fondée que lui aurait inspirée l'intimé. Si l'appelante a déposé plainte pénale pour des violences verbales et physiques qu'elle dit subir de la part de son époux, la procédure pénale n'en est pour l'heure qu'au stade de l'enquête, de sorte que ces accusations ne sont pas établies. En l'état, il ressort des déclarations des enfants, qu'il n'y a pas lieu de remettre en cause pour les raisons évoquées sous considérant 4.3. lettre c ci-dessus, que les deux parents font preuve de violences l'un envers l'autre et s'adressent réciproquement des insultes. Il en résulte également que les responsabilités dans les disputes au sein du couple sont partagées. Ces circonstances ne permettent pas d'admettre, à elles seules, la présence d'une crainte fondée et a fortiori l'existence d'un lien de causalité entre celle-ci et la signature de la convention. Mal fondé, ce grief doit être rejeté. 5. Au vu de ce qui précède, l'appel doit être rejeté et le prononcé ratifiant la convention de mesures protectrices de l'union conjugale confirmé.</w:t>
      </w:r>
    </w:p>
    <w:p>
      <w:r>
        <w:t>- 15 - L'assistance judiciaire ayant été accordée à l'appelante, les frais judiciaires de deuxième instance, arrêtés à 600 fr., sont laissés à la charge de l'Etat. L'appelante, qui succombe, doit verser des dépens, fixés à 600 fr., à l'intimé, celui-ci ayant dû se déterminer sur le procès-verbal de l'audition des enfants. Le conseil d’office de l’appelante sera rémunéré équitablement par l’Etat (art. 122 al. 1 let. a et d et al. 2 CPC). Sur le vu de la listes des opérations et débours produite, Me Bernard Geller, conseil d’office de l’appelante, a droit à une indemnité de 1'609 fr. 20, comprenant un défraiement de 1'440 fr. plus 115 fr. 20 de TVA et le remboursement de ses débours, par 50 fr. plus 4 fr. de TVA (art. 2 et 3 RAJ [règlement sur l'assistance judiciaire en matière civile du 7 décembre 2010 ; RSV 211.02.3]). La bénéficiaire de l’assistance judiciaire est tenue, dans la mesure de l’art. 123 CPC, au remboursement des frais judiciaires et de l’indemnité à son conseil d’office mis à la charge de l’Etat. Par ces motifs, le juge délégué de la Cour d’appel civile du Tribunal cantonal, statuant à huis clos, prononce : I. L’appel est rejeté. II. La décision est confirmée. III. Les frais judiciaires de deuxième instance, arrêtés à 600 fr. (six cents francs), sont laissés à la charge de l'Etat.</w:t>
      </w:r>
    </w:p>
    <w:p>
      <w:r>
        <w:t>- 16 - IV. L'indemnité d'office de Me Geller, conseil de l'appelante H.________, est arrêtée à 1'609 fr. 20 (mille six cent neuf francs et vingt centimes), TVA et débours compris. V. La bénéficiaire de l'assistance judiciaire est tenue, dans la mesure de l'art. 123 CPC, au remboursement des frais judiciaires et de l'indemnité du conseil d'office mis à la charge de l'Etat. VI. L'appelante H.________ doit verser à l'intimé Q.________ la somme de 600 fr. (six cents francs) à titre de dépens de deuxième instance. VII. L'arrêt motivé est exécutoire. Le juge délégué : La greffière : Du 25 octobre 2011 Le dispositif de l'arrêt qui précède est communiqué par écrit aux intéressés. La greffière : Du L'arrêt qui précède, dont la rédaction a été approuvée à huis clos, est notifié en expédition complète, par l'envoi de photocopies à : - Me Bernard Geller, avocat (pour H.________), - Me José Coret, avocat (pour Q.________).</w:t>
      </w:r>
    </w:p>
    <w:p>
      <w:r>
        <w:t>- 17 -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