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JS11.028969 vom 6. September 2016</w:t>
      </w:r>
    </w:p>
    <w:p>
      <w:r>
        <w:t>VD Tribunal cantonal, 2016-09-06, FR</w:t>
      </w:r>
    </w:p>
    <w:p>
      <w:r>
        <w:rPr>
          <w:b/>
        </w:rPr>
        <w:t xml:space="preserve">Quelle: </w:t>
      </w:r>
      <w:r>
        <w:t>https://mcp.opencaselaw.ch/entscheid/vd_gerichte_JS11.028969</w:t>
      </w:r>
    </w:p>
    <w:p>
      <w:r>
        <w:t>FR: VD_GERICHTE JS11.028969 du 6 septembre 2016</w:t>
      </w:r>
    </w:p>
    <w:p>
      <w:r>
        <w:t>IT: VD_GERICHTE JS11.028969 del 6 settembre 2016</w:t>
      </w:r>
    </w:p>
    <w:p>
      <w:pPr>
        <w:pStyle w:val="Heading2"/>
      </w:pPr>
      <w:r>
        <w:t>Erwägungen</w:t>
      </w:r>
    </w:p>
    <w:p>
      <w:r>
        <w:rPr>
          <w:b/>
        </w:rPr>
        <w:t>E. 3</w:t>
      </w:r>
    </w:p>
    <w:p>
      <w:r>
        <w:t>Le recourant critique en substance la motivation insuffisante de la décision entreprise et son caractère arbitraire en tant qu’il retranche 12 heures et 40 minutes, correspondant à plus de 25 % de l’activité invoquée durant la période considérée, sans prendre en considération l’ampleur du travail nécessitée par la cause. En particulier, le premier juge n’aurait pas tenu compte des nombreux courriers adressés au client et comptabilisés forfaitairement à raison de 10 minutes par courrier, lesquels seraient liés aux innombrables et extrêmement longues correspondances de la partie adverse, aux nombreuses sollicitations du client et à la présence d’autres intervenants, tel que le Service de protection de la jeunesse, au cours de cette longue procédure. En relevant que le premier juge aurait statué alors que l’intervention de ce dernier dans la cause n’était que récente, le recourant invoque implicitement que le premier juge aurait méconnu la teneur exacte et l’ampleur du dossier.</w:t>
      </w:r>
    </w:p>
    <w:p>
      <w:r>
        <w:rPr>
          <w:b/>
        </w:rPr>
        <w:t>E. 4.1</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consid. 3d/aa).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consid. 3.1, JdT 2011 IV 3 ; ATF 130 lI 530 consid. 4.3). L'autorité n'a pas l'obligation d'exposer et de discuter tous les faits, moyens de preuve et griefs invoqués par les parties, mais elle peut au contraire se limiter à ceux qui, sans arbitraire, lui paraissent pertinents (ATF 133 I 270 consid. 3.1 ; ATF 126 I 97 consid. 2b).</w:t>
      </w:r>
    </w:p>
    <w:p>
      <w:r>
        <w:t>- 6 - Lorsque l'autorité fixe l’indemnité due à un conseil d’office en statuant sur la base d'une liste de frais, elle doit alors exposer brièvement, si elle entend s'en écarter, les motifs pour lesquels elle tient certaines prétentions pour injustifiées, afin que son destinataire puisse attaquer la décision à bon escient (TF 5D_28/2014 du 26 mai 2014 consid. 2.2 ; TF 5A_39/2014 du 12 mai 2014 consid. 4.2). Un vice découlant de la violation du droit d'être entendu ne peut être réparé devant la Chambre des recours civile du Tribunal cantonal, dès lors qu'elle ne dispose pas du même pouvoir de cognition que le premier juge et qu'elle ne peut revoir les faits que sous l'angle de l'arbitraire (cf. art. 320 let. b CPC ; CREC 4 mars 2015/102 consid. 3b ; CREC 10 décembre 2014/435 consid. 3b).</w:t>
      </w:r>
    </w:p>
    <w:p>
      <w:r>
        <w:rPr>
          <w:b/>
        </w:rPr>
        <w:t>E. 4.2</w:t>
      </w:r>
    </w:p>
    <w:p>
      <w:r>
        <w:t>En l’espèce, le premier juge a réduit le nombre d’heures consacrées par le recourant au dossier en exposant qu’après examen de l’ensemble du dossier et des opérations mentionnées dans la liste produite, il considérait que le temps dédiés aux « courriers clients » était trop largement compté et qu’il devait être réduit en conséquence. Il s’avère que la liste des opérations établie le 2 juin 2016 par l’avocat T.________ fait état de 52 courriers adressés au client entre le 22 décembre 2011 et le 31 mars 2016, dont la plupart ont été comptabilisés à raison de 10 minutes chacun, forfaitairement ainsi que l’expose le recourant, 6 courriers ayant été comptabilisés à raison de 20 minutes chacun. Le total du temps invoqué par l’avocat T.________ comme étant lié à l’envoi de correspondances à son mandant totalise 580 minutes, soit 9 heures et 40 minutes, alors que le temps décompté à ce titre dans la décision attaquée est de 12 heures et 40 minutes. Outre qu’il n’est pas envisageable de ne tenir compte d’aucune correspondance dans le cadre du mandat d’un conseil d’office dans une procédure ayant duré près de cinq ans, il résulte de ce qui précède que le nombre des courriers adressés par le recourant à son client d’office ne permet pas de justifier la réduction opérée, laquelle s’apparente en réalité à une réduction forfaitaire.</w:t>
      </w:r>
    </w:p>
    <w:p>
      <w:r>
        <w:t>- 7 - Quand bien même il apparaît que sur le nombre, certains courriers correspondent vraisemblablement à des mémos ou cartes de transmission qui ne constituent pas du travail d’avocat, mais de secrétariat, et qu’un nombre non négligeable de courriers a été adressé le jour même ou le lendemain d’un autre contact avec le client sous forme de conférence ou de téléphone, de sorte que l’on peut douter de leur nécessité (cf. ATF 141 I 124 consid. 3.1), l’ampleur de la réduction opérée et son caractère en réalité forfaitaire révèlent une motivation insuffisante de la décision attaquée. Ce défaut de motivation constitue une violation du droit d’être entendu du recourant, qui ne peut être réparée devant l’autorité de recours, en raison de son pouvoir de cognition restreint. Il est en effet exclu que la chambre de céans substitue son examen à celui du premier juge, qui dispose d’un large pouvoir d’appréciation pour fixer l’indemnité du défenseur d’office (cf. ATF 141 I 124 consid. 3.1). Alors que le premier juge dispose d’une bonne connaissance du dossier, la Chambre des recours ignore la réalité de certains paramètres d’appréciation, tel que le degré de difficulté et l’ampleur du travail propres au cas d’espèce. Ces aspects, qui semblent en l’occurrence non négligeables pour le recourant, doivent être appréciés en premier lieu par le juge en charge du dossier. Il n’appartient pas à l’autorité de recours de faire le tri parmi l’ensemble des opérations, en particulier les envois de correspondances, pour confirmer ou infirmer le nombre d’heures avancées par l’avocat d’office. Le renvoi de la cause au premier juge permet du reste de préserver la garantie de la double instance.</w:t>
      </w:r>
    </w:p>
    <w:p>
      <w:r>
        <w:rPr>
          <w:b/>
        </w:rPr>
        <w:t>E. 5</w:t>
      </w:r>
    </w:p>
    <w:p>
      <w:r>
        <w:t>Au vu de ce qui précède, le recours est admis, la décision entreprise étant annulée et la cause renvoyée au premier juge pour nouvel examen et nouvelle décision dans le sens des considérants. Les frais judiciaires de deuxième instance, arrêtés à 100 fr. (art. 69 al. 1 et 3 ainsi que 70 al. 3 TFJC (tarif des frais judiciaires en</w:t>
      </w:r>
    </w:p>
    <w:p>
      <w:r>
        <w:t>- 8 - matière civile du 28 septembre 2010 ; RSV 270.11.5]), ne sont pas imputables au recourant, de sorte qu’ils seront laissés à la charge de l’Etat (art. 107 al. 2 CPC). Il n’y a pas matière à l’allocation de dépens, puisque l’on ne saurait ici considérer l’Etat comme une partie adverse (Tappy, CPC commenté, Bâle 2011, n. 34 ad art. 107 CPC, p. 426). Par ces motifs, la Chambre des recours civile du Tribunal cantonal, prononce : I. Le recours est admis. II. La décision est annulée, la cause étant renvoyée au Président du Tribunal civil de l’arrondissement de Lausanne pour nouvel examen et nouvelle décision dans le sens des considérants. III. Les frais judiciaires de deuxième instance, arrêtés à 100 fr. (cent francs), sont laissés à la charge de l’Etat. IV. Il n’est pas alloué de dépens. V. L’arrêt est exécutoire. Le président : La greffière :</w:t>
      </w:r>
    </w:p>
    <w:p>
      <w:r>
        <w:t>- 9 - Du L'arrêt qui précède, dont la rédaction a été approuvée à huis clos, est notifié à : - Me T.________, - M. P.________.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