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JS11.020977 vom 28. Dezember 2011</w:t>
      </w:r>
    </w:p>
    <w:p>
      <w:r>
        <w:t>VD Tribunal cantonal, 2011-12-28, FR</w:t>
      </w:r>
    </w:p>
    <w:p>
      <w:r>
        <w:rPr>
          <w:b/>
        </w:rPr>
        <w:t xml:space="preserve">Quelle: </w:t>
      </w:r>
      <w:r>
        <w:t>https://mcp.opencaselaw.ch/entscheid/vd_gerichte_JS11.020977</w:t>
      </w:r>
    </w:p>
    <w:p>
      <w:r>
        <w:t>FR: VD_GERICHTE JS11.020977 du 28 décembre 2011</w:t>
      </w:r>
    </w:p>
    <w:p>
      <w:r>
        <w:t>IT: VD_GERICHTE JS11.020977 del 28 dicembre 2011</w:t>
      </w:r>
    </w:p>
    <w:p>
      <w:pPr>
        <w:pStyle w:val="Heading2"/>
      </w:pPr>
      <w:r>
        <w:t>Erwägungen</w:t>
      </w:r>
    </w:p>
    <w:p>
      <w:r>
        <w:rPr>
          <w:b/>
        </w:rPr>
        <w:t>E. 43</w:t>
      </w:r>
    </w:p>
    <w:p>
      <w:r>
        <w:t>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2e éd., Berne 2010, n. 2410, p. 437). Les parties peuvent toutefois faire valoir que le juge de première instance a violé la maxime inquisitoire en ne prenant pas en considération certains faits (HohI, op. cit., n. 2414, p. 438). Par ailleurs,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c) En l’espèce, les parties ont produit de nouvelles pièces à l’appui de leur mémoire respectif. Une partie de celles-ci étant antérieures</w:t>
      </w:r>
    </w:p>
    <w:p>
      <w:r>
        <w:t>- 9 - à l’audience de mesures protectrices de l’union conjugale du 19 août 2011, la question de leur recevabilité se pose puisqu'elles auraient dû être produites en première instance. Il n’y a cependant pas lieu d’examiner cette question plus avant, dès lors que le présent litige concerne des enfants mineurs et qu’au vu des principes énoncés ci-dessus (supra c. 2b), les pièces produites en appel sont de toute manière recevables. 3. a) La décision de première instance a établi que les deux parties sont de nationalité marocaine. A.W.________ est toutefois également ressortissant suisse (cf. certificat de famille produit en première instance par l'intimé). V.________ étant exclusivement de nationalité marocaine, la cause présente un élément d'extranéité qui impose de vérifier la compétence des autorités judiciaires saisies et le droit applicable, ce d'autant plus que l'appelante a déclaré avoir ouvert, en juillet 2011, une procédure de divorce au Maroc. b) En vertu de la loi fédérale du 18 décembre 1987 sur le droit international privé (LDIP; RS 291), la compétences des autorités judiciaires suisses est régie par la LDIP, à défaut de traité international entre la Suisse et le Maroc (art. 1 al. 1 let. a et al. 2 LDIP). Selon l’art. 46 LDIP, les autorités judiciaires ou administratives suisses du domicile ou, à défaut de domicile, celles de la résidence habituelle de l’un des époux sont compétentes pour connaître des actions ou ordonner les mesures relatives aux effets du mariage, lesquelles englobent les mesures protectrices de l'union conjugale (Bucher, Le couple en droit international privé, n. 180). Les époux étant domiciliés en Suisse, dans le canton de Vaud, les autorités judiciaires suisses de ce canton, en particulier la juge déléguée de la Cour d'appel civile du Tribunal cantonal, sont par conséquent compétentes pour statuer sur les mesures protectrices de l'union conjugale intéressant les parties.</w:t>
      </w:r>
    </w:p>
    <w:p>
      <w:r>
        <w:t>- 10 - c) Les effets du mariage sont régis par le droit de l'Etat dans lequel les époux ont leur domicile (art. 48 al. 1 LDIP). En l'espèce, les époux étant domiciliés en Suisse, c'est le droit suisse qui est applicable. d) A teneur de l'art. 85 al. 1 LDIP,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1er juillet 2009 pour la Suisse et, pour le Maroc le 1er décembre 2002,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 96). Elle s'applique aux enfants à partir de leur naissance et jusqu’à ce qu’ils aient atteint l’âge de 18 ans (art. 2 CLaH 96). Elle prévoit que ce sont les autorités, tant judiciaires qu'administratives, de l'Etat contractant de la résidence habituelle de l'enfant qui sont compétentes pour prendre les mesures tendant à la protection de sa personne ou de ses biens (art. 5 ch. 1 CLaH 96). Dans la mesure des compétences qui leur sont attribuées par cette convention, les autorités doivent appliquer leur loi (art. 15 ch. 1 CLaH 96). Si la CLaH 96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w:t>
      </w:r>
    </w:p>
    <w:p>
      <w:r>
        <w:t>- 11 -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 4.1;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réf.; TF 5C.272/2000 et 5C.273/2000 du 12 février 2001 c. 3b et réf.; ATF 129 III 288 c. 4.1). En l'espèce, il n'est pas contesté que la résidence habituelle des enfants B.W.________ et C.W.________ est située en Suisse. Les autorités judiciaires suisses sont donc compétentes pour statuer sur les questions de l'attribution du droit de garde et celle du droit de visite, le droit suisse étant ainsi applicable. e) En principe, les mesures protectrices de l'union conjugale peuvent être ordonnée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w:t>
      </w:r>
    </w:p>
    <w:p>
      <w:r>
        <w:t>- 12 - moment où le juge étranger a ordonné des mesures provisoires pour la durée du procès et que celles-ci ont été déclarées exécutoires en Suisse (ATF 104 II 246). En l'espèce, les mesures protectrices de l'union conjugale ont été requises le 6 juin 2011, soit à une date antérieure à l'ouverture de l'action en divorce au Maroc. On ignore si le tribunal marocain a réglé provisoirement certains effets du divorce mais, en tous les cas, ces éventuelles mesures devraient encore être déclarées exécutoires en Suisse pour que le juge suisse ne soit plus compétent, ce qui n'est pas le cas de la présente cause. Dans ces conditions, les autorités judiciaires suisses demeurent compétentes pour statuer sur les mesures protectrices de l'union conjugale requises le 6 juin 2011. 4. a) L'appelante remet tout d'abord en cause l'application faite de l'art. 176 al. 3 CC (Code civil du 10 décembre 1907; RS 210) par le premier juge. Elle relève, plus particulièrement, que la garde sur les enfants B.W.________ et C.W.________ devrait lui être attribuée dans la mesure où il appartenait à A.W.________ d'informer les autorités scolaires du départ au Maroc de V.________ et de ses enfants, peu avant les vacances scolaires de l'été 2011, ce qu'il n'a pas fait, que l'éducation des enfants était assurée par leur mère et que l'appelante avait certes démissionné de l'un de ses deux postes de travail mais qu'elle l'avait fait pour être en mesure de s'occuper convenablement des enfants. b) En vertu de l'art. 176 al. 3 CC,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S’agissant du droit de garde, qui est ordinairement attribué dans le cadre de la procédure des mesures protectrices de l'union conjugale (ATF 136 III 353 c. 3.1, JT 2010 I 491), les principes posés par la jurisprudence et la doctrine en matière de divorce sont applicables par analogie (TF</w:t>
      </w:r>
    </w:p>
    <w:p>
      <w:r>
        <w:t>- 13 - 5A_495/2008 du 30 octobre 2008 et les arrêts cités; Bräm, Commentaire zurichois, Zurich, 1998, nn. 89 et 101 ad art. 176 CC).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co-décision par rapport aux questions les plus importantes pour la planification de la vie de l'enfant, notamment la question du nom, la formation générale et professionnelle, le choix de l'éducation religieuse, les interventions médicales et les autres orientations propres à influencer le cours de la vie de l'enfant (ATF 136 III 353 c. 3.2, JT 2010 I 491). Le principe fondamental en ce domaine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 3 ; ATF 115 II 206 c. 4a ; ATF 115 II 317 c. 2 ; ATF 114 II 200 c. 5).</w:t>
      </w:r>
    </w:p>
    <w:p>
      <w:r>
        <w:t>- 14 - c) En l'espèce, le premier juge, rappelant son pouvoir d'appréciation en la matière, a estimé, en substance, que le père se montrait plus responsable que son épouse s'agissant de l'éducation des enfants, celle-ci ne paraissant pas réaliser l'existence d'obligations liées à l'école, et que le fait de partir au Maroc pour y ouvrir action en divorce, après avoir eu connaissance de la requête déposée par son époux et sans l'en informer, dénotait un manque de franchise qui risquait de compliquer les relations entre le père et ses enfants, dans l'hypothèse où elle en aurait la garde. Le premier juge a toutefois encore relevé qu'en l'état, aucun reproche précis ne pouvait être formulé à l'encontre de la mère, mais que l'attitude de A.W.________ démontrait qu'il était à même, à première vue, de prendre en charge l'éducation de ses enfants et de leur apporter la stabilité nécessaire à leur équilibre. Le premier juge a donc attribué la garde des enfants à leur père, tout en ajoutant qu'il serait souhaitable que les parents parviennent à trouver un accord s'agissant de leurs enfants, afin de leur offrir un cadre leur permettant d'évoluer favorablement malgré la séparation. On ne peut qu'appuyer le premier juge s'agissant de l'exhortation formulée à l'endroit des parents de trouver un accord dans l'intérêt de leurs enfants. En revanche, l'appréciation du premier juge ne peut être partagée, à ce stade, au sujet de l'attribution de la garde des enfants à leur père. En effet, tout en déclarant n'avoir aucun reproche précis à formuler à l'encontre de la mère, le premier juge lui reproche néanmoins un comportement – isolé en l'état du dossier –, duquel on ne saurait inférer que l'appelante ne serait pas consciente, de manière générale, que l'école implique des obligations et qui ne saurait remettre en cause de manière fondamentale sa capacité éducative. S'agissant du reproche concernant le départ de l'appelante dans son pays d'origine pour y ouvrir action en divorce après avoir eu connaissance de la requête de mesures protectrices de l'union conjugale déposée par l'intimé le 7 juin 2011, celui-ci ne soutient pas que l'appelante entraverait ses relations avec ses enfants mais prétend au contraire qu'elles sont intenses. Il convient enfin de relativiser – mais seulement dans la mesure où cet</w:t>
      </w:r>
    </w:p>
    <w:p>
      <w:r>
        <w:t>- 15 - élément est retenu en défaveur de la mère et non pas dans l'optique d'une critique du père qui n'a pas démérité en l'espèce – le fait que celui-ci s'est occupé de ses enfants notamment le soir durant les heures de travail de son épouse. En effet, on ne saurait tenir rigueur à l'appelante d'avoir contribué aux besoins de sa famille en occupant deux postes de travail impliquant une indisponibilité due à ce fait, celle-ci ayant du reste renoncé à un de ses postes en vue de s'occuper de ses enfants, une activité à temps partiel étant compatible avec le fait que les deux enfants sont âgés de moins de dix ans selon la jurisprudence du Tribunal fédéral (ATF 115 II 6 c. 3c). En l'état et à tout le moins jusqu'à ce que le SPJ ait rendu son rapport qui impliquera que la situation soit revue, l'intérêt des enfants à la stabilité de leur situation et des relations nécessaires à leur développement commande l'attribution de la garde et de la jouissance du domicile conjugal à l'appelante (cf. TF 5A_495/2008 du 30 octobre 2008 c. 3.2), ce qui correspond au demeurant à la situation de fait actuelle, l'intimé ayant quitté le domicile conjugal et s'étant installé dans une auberge de jeunesse, [...], depuis le 22 août 2011, ce qui n'est pas contesté par les parties. A.W.________ jouira d'un libre et large droit de visite, à fixer d'entente entre les parties. A défaut d'entente, il pourra avoir ses fils auprès de lui, à charge pour lui d'aller les chercher là où ils se trouvent et de les y ramener, un week-end sur deux, du vendredi à 18h00 au dimanche à 18h00, alternativement à Noël ou Nouvel An, à Pâques ou à Pentecôte et à l'Ascension ou au Jeûne fédéral, ainsi que durant la moitié des vacances scolaires. Bien fondé, l'appel doit ainsi être admis sur ce point. 5. a) L'appelante fait ensuite valoir que le disponible de l'intimé, s'élevant à 395 fr., devrait lui revenir, si la garde des enfants lui était attribuée.</w:t>
      </w:r>
    </w:p>
    <w:p>
      <w:r>
        <w:t>- 16 - b) Conformément à l'art. 176 al. 1 ch. 1 CC, applicable par analogie aux mesures provisoires, le juge fixe la contribution pécuniaire à verser par l'une des parties à l'autre. Le montant des aliments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le faillite; RS 281.1]), auquel sont ajoutées les dépenses non strictement nécessaires, l'excédent est en règle générale réparti par moitié entre eux (ATF 114 II 26), à moins que des circonstances importantes ne justifient de s'en écarter (ATF 119 II 314 c. 4b/bb). c) Il convient de fixer la contribution d'entretien de l'appelante et de ses enfants mineurs en reprenant certains postes retenus par le premier juge. Il convient de préciser que les frais liés à l'engagement d'une maman de jour ne seront pas repris, V.________ ayant mis un terme à l'une de ses activités professionnelles pour pouvoir s'occuper convenablement des enfants, et que le loyer retenu dans les charges de l'intimé se montera à 1'200 fr. par mois en attendant qu'il ait trouvé un logement adéquat, les frais de logement dont il faut tenir compte étant en principe des frais de logement effectifs ou raisonnables compte tenu de différents critères (cf. Bastons Buletti, L'entretien après divorce: méthodes de calcul, montant, durée et limites, in SJ 2007 II 85). Pour le surplus, il y a lieu de reprendre les montants fixés en première instance, ceux-ci n'ayant pas été contestés par les parties. L'appelante perçoit un salaire mensuel net de 1'500 fr. par mois. Le montant de base relatif à son minimum vital (parent monoparental) est de 1'350 fr. et ses charges sont constituées d'un montant de 800 fr. relatif aux montants de base du minimum vital des enfants du couple, d'un loyer de 1'565 fr. par mois, de primes mensuelles d'assurance maladie pour elle et ses enfants de 288 fr., d'un montant de</w:t>
      </w:r>
    </w:p>
    <w:p>
      <w:r>
        <w:t>- 17 - 66 fr. au titre d'abonnement mensuel de bus et des frais d'accueil pour enfants en milieu scolaire (APEMS) de 100 fr., soit un montant total de charges incompressibles de 4'169 francs. L'intimé perçoit un salaire mensuel net de 5'850 fr. par mois. Le montant de base relatif à son minimum vital (adulte seul) est de 1'200 fr. et ses charges sont constituées d'un montant de 150 fr. pour l'exercice de son droit de visite, d'un loyer de 1'200 fr. par mois, de primes mensuelles d'assurance maladie de 170 fr. ainsi que d'un montant de 66 fr. au titre d'abonnement mensuel de bus, soit un montant total de charges incompressibles de 2'786 francs. Le total des revenus des parties est de 7'350 fr., dont à déduire le montant total des charges incompressibles de 6'955 fr., soit un excédent de 395 francs. Les deux tiers de ce montant reviennent à V.________, qui se voit attribuer la garde sur les enfants, soit 263 fr., et A.W.________ conserve le tiers de cet excédent, soit 132 francs. Le montant total des charges de l'appelante (4'169 fr.), plus les deux tiers de l'excédent (263 fr.), moins ses propres revenus (1'500 fr.), lui laisse un solde de 2'932 francs. Dans son appel du 20 septembre 2011, celle-ci a conclu à l'allocation d'une contribution d'entretien de 3'000 fr. par mois, dès le 1er septembre 2011. C'est ainsi un montant de 2'950 fr. (en chiffres ronds) par mois, allocations familiales en sus, qui lui sera alloué, dès le 1er octobre 2011 pour tenir compte du fait que jusqu'à cette date, l'appelante occupait deux postes de travail. Il n'y a pas lieu de prévoir un avis au débiteur, les pièces produites par l'intimé laissant présumer qu'il s'acquittera de son dû. L'appel doit être partiellement admis sur ce point. 6. En définitive, l'appel doit être partiellement admis et le prononcé de mesures protectrices de l'union conjugale rendu le 8 septembre 2011 par le Président du Tribunal civil de l'arrondissement de Lausanne réformé en ce sens que la garde sur les enfants B.W.________, né</w:t>
      </w:r>
    </w:p>
    <w:p>
      <w:r>
        <w:t>- 18 - le [...] 2003, et C.W.________, né le [...] 2005, est attribuée à V.________, que A.W.________ bénéficie d'un libre et large droit de visite sur ses enfants, à fixer d'entente avec l'appelante, qu'à défaut d'entente, il pourra avoir ses enfants auprès de lui, à charge pour lui d'aller les chercher là où ils se trouvent et de les y ramener, un week-end sur deux, du vendredi à 18h00 au dimanche à 18h00, alternativement à Noël ou Nouvel An, à Pâques ou à Pentecôte et à l'Ascension ou au Jeûne fédéral, ainsi que durant la moitié des vacances scolaires, que la jouissance de l'appartement conjugal, sis [...], à Lausanne, est attribuée à V.________, à charge pour elle d'en assumer toutes les charges, qu'aucun délai n'est imparti à l'intimé pour quitter le domicile conjugal, dans la mesure où il l'a déjà quitté, et qu'il est astreint au paiement d'une contribution d'entretien pour les siens de 2'950 fr. par mois, allocations familiales en sus, dès le 1er octobre 2011. Vu l'issue et la nature du litige, et compte tenu de ce que l'assistance judiciaire a été accordée à l'appelante et à l'intimé, les frais judiciaires de deuxième instance, arrêtés à 600 fr. (art. 65 al. 2 TFJC [Tarif des frais judiciaires civils du 28 septembre 2010; RSV 270.11.5]), répartis en principe à parts égales entre les parties (art. 106 al. 2 et art. 107 al. 1 let. c CPC), sont laissés à la charge de l'Etat, et les dépens compensés. 7. Le 23 décembre 2011, le conseil d'office de V.________ a déposé une liste d'opérations annonçant qu'il avait consacré environ douze heures et vingt-cinq minutes à la procédure d'appel. Compte tenu de l'ampleur du litige et du travail accompli, ce nombre doit être ramené à dix heures. Au tarif horaire de 180 fr. (art. 2 et 3 RAJ [règlement sur l'assistance judiciaire en matière civile du 7 décembre 2010; RSV 211.02.3]), l'indemnité d'honoraires doit être fixée à 1'800 fr., plus 144 fr. de TVA. Les débours peuvent être retenus à hauteur des montants allégués, soit 63 fr. 20, plus TVA de 5 francs. Aussi, l'indemnité d'office de Me Katia Pezuela doit être arrêtée à 2'012 fr. 20.</w:t>
      </w:r>
    </w:p>
    <w:p>
      <w:r>
        <w:t>- 19 - Le 5 janvier 2012, le conseil d'office de A.W.________ a également déposé une liste d'opérations annonçant qu'il avait consacré huit heures à la procédure d'appel. Au tarif horaire de 180 fr., l'indemnité d'honoraires doit être fixée à 1'440 fr., plus 115 fr. 20 de TVA. Les débours peuvent être retenus à hauteur du montant allégué, soit 50 fr., plus TVA de 4 francs. Aussi, l'indemnité d'office de Me Jean-Pierre Bloch doit être arrêtée à 1'609 fr. 20. Les bénéficiaires de l’assistance judiciaire sont tenus, dans la mesure de l’art. 123 CPC, au remboursement des frais judiciaires et de l’indemnité à leur conseil d’office mis à la charge de l’Etat.</w:t>
      </w:r>
    </w:p>
    <w:p>
      <w:r>
        <w:t>- 20 - Par ces motifs, la juge déléguée de la Cour d’appel civile du Tribunal cantonal, statuant à huis clos, prononce : I. L’appel est admis. II. Le prononcé est réformé comme suit aux chiffres II et IV à VIII de son dispositif : II. confie la garde des enfants B.W.________, né le [...] 2003, et C.W.________, né le [...] 2005, à l'appelante V.________ ; IV. dit que l'intimé A.W.________ jouira d'un libre et large droit de visite à fixer d'entente avec l'appelante; à défaut d'entente il pourra avoir ses fils auprès de lui, à charge pour lui d'aller les chercher où ils se trouvent et de les y ramener: -un week-end sur deux, du vendredi à 18h00 au dimanche à 18h00; -alternativement à Noël ou Nouvel An, à Pâques ou à Pentecôte et à l'Ascension ou au Jeûne fédéral; -durant la moitié des vacances scolaires; V. attribue la jouissance de l'appartement conjugal, sis [...], à 1018 Lausanne, à l'appelante, qui en assumera toutes les charges; VI. supprimé; VII. dit que l'intimé est astreint au versement d'une contribution en faveur des siens par le versement régulier, payable d'avance chaque mois en mains de V.________ de la somme de 2'950 fr. (deux mille neuf cent cinquante francs), allocations familiales en sus, cela dès le 1er octobre 2011;</w:t>
      </w:r>
    </w:p>
    <w:p>
      <w:r>
        <w:t>- 21 - VIII. supprimé; Le prononcé est confirmé pour le surplus. III. Les frais judiciaires de deuxième instance, arrêtés à 600 fr. (six cents francs), et répartis à parts égales entre l'appelante et l'intimé, sont laissés à la charge de l'Etat. IV. L'indemnité d'office de Me Katia Pezuela, conseil de l'appelante V.________, est arrêtée à 2'012 fr. 20 (deux mille douze francs et vingt centimes), TVA et débours compris, celle de Me Jean-Pierre Bloch, conseil de l'intimé A.W.________, à fr. 1'609 fr. 20 (mille six cent neuf francs et vingt centimes), TVA et débours compris. V. Les bénéficiaires de l'assistance judiciaire sont, dans la mesure de l'art. 123 CPC, tenus au remboursement des frais judiciaires et de l'indemnité au conseil d'office mis à la charge de l'Etat. VI. Les dépens de deuxième instance sont compensés. VII. L'arrêt motivé est exécutoire. La juge déléguée : Le greffier :</w:t>
      </w:r>
    </w:p>
    <w:p>
      <w:r>
        <w:t>- 22 - Du L'arrêt qui précède, dont la rédaction a été approuvée à huis clos, est notifié en expédition complète, par l'envoi de photocopies à : - Me Katia Pezuela (pour V.________), - Me Jean-Pierre Bloch (pour A.W.________).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