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JS11.019605 vom 30. August 2011</w:t>
      </w:r>
    </w:p>
    <w:p>
      <w:r>
        <w:t>VD Tribunal cantonal, 2011-08-30, FR</w:t>
      </w:r>
    </w:p>
    <w:p>
      <w:r>
        <w:rPr>
          <w:b/>
        </w:rPr>
        <w:t xml:space="preserve">Quelle: </w:t>
      </w:r>
      <w:r>
        <w:t>https://mcp.opencaselaw.ch/entscheid/vd_gerichte_JS11.019605</w:t>
      </w:r>
    </w:p>
    <w:p>
      <w:r>
        <w:t>FR: VD_GERICHTE JS11.019605 du 30 août 2011</w:t>
      </w:r>
    </w:p>
    <w:p>
      <w:r>
        <w:t>IT: VD_GERICHTE JS11.019605 del 30 agosto 2011</w:t>
      </w:r>
    </w:p>
    <w:p>
      <w:pPr>
        <w:pStyle w:val="Heading2"/>
      </w:pPr>
      <w:r>
        <w:t>Erwägungen</w:t>
      </w:r>
    </w:p>
    <w:p>
      <w:r>
        <w:rPr>
          <w:b/>
        </w:rPr>
        <w:t>E. 3</w:t>
      </w:r>
    </w:p>
    <w:p>
      <w:r>
        <w:t>a) L’appelant soutient tout d’abord qu’après plus de deux ans de séparation, la solidarité matrimoniale se serait estompée et que la méthode du partage du disponible entre époux ne se justifierait plus. Selon lui, ce serait bien plutôt une incitation à l’indépendance qui devrait intervenir sous la forme d’un « clean break ». b) Aux termes de l'art. 176 al. 1 ch. 1 CC (Code civil suisse du 10 décembre 1907, RS 210),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JT 1996 I 197 ; TF 5A_453/2009 du 9</w:t>
      </w:r>
    </w:p>
    <w:p>
      <w:r>
        <w:t>- 9 - novembre 2009 c. 5.2), la fixation de la contribution d'entretien ne devant pas anticiper sur la liquidation du régime matrimonial. Dans les cas – les plus nombreux – où les parties ne sont pas dans une situation matérielle favorable (sur cette notion : TF 5A_288/2008 du 27 août 2008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(cf.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publié in La pratique du droit de la famille [FamPra.ch] 2003 pp. 428 ss, spéc. p. 430 et les citations). Lorsqu'on ne peut plus sérieusement compter sur la reprise de la vie commune, le principe de l'indépendance financière gagne en importance, de sorte qu'il faut se référer aux critères applicables à l'entretien après le divorce, en particulier pour examiner la question de la reprise ou de l'augmentation de l'activité lucrative d'un époux, pour autant que cela soit possible dans la situation du marché de l’emploi (ATF 128 III 65 c. 4a, JT 2002 I 459 ; TF 5P.189/2002 du 17 juillet 2002, publié in FamPra.ch 2002, pp. 836 ss ; TF 5P.437/2002 du 3 juin 2003 c. 4.1). c/aa) En l’espèce, il appert que les parties ont adopté, du temps de la vie commune qui a duré plus de vingt ans, une répartition traditionnelle des tâches, l’époux travaillant et l’épouse s’occupant du ménage ainsi que de l’éducation de leur fille. bb) L’appelant reproche au premier juge d’avoir retenu que l’intimée n’avait jamais travaillé du temps de la vie commune. Il soutient qu’il ressortirait de la pièce 5, produite à l’appui de la requête de mesures protectrices de l’union conjugale du 24 mai 2011, que l’intimée a une</w:t>
      </w:r>
    </w:p>
    <w:p>
      <w:r>
        <w:t>- 10 - formation de mécanicienne en fourrure, qu’elle a fait des extras dans la fourrure et qu’elle a exercé une activité de maman de jour. Toutefois, la pièce à laquelle se réfère l’appelant est constituée par la requête de mesures protectrices de l’union conjugale qu’il avait lui-même déposée le 2 février 2009, qui ne rapporte nullement en tant que telle la preuve des simples allégations qui y sont contenues. Il n’y a donc pas lieu de s’écarter des faits retenus par le premier juge, à savoir que l’intimée, après avoir travaillé quelques mois en intérimaire dans une boucherie industrielle ou encore œuvré comme maman de jour, obtient systématiquement des réponses négatives lors de ses recherches d’emploi, établies par pièces. cc) L’appelant critique en outre la constatation de la présidente du tribunal d’arrondissement selon laquelle l’intimée, qui souhaiterait pouvoir suivre les cours de la Croix-Rouge pour devenir aide- soignante, ne trouve pas d’occasion de faire un stage d’une semaine dans un établissement médico-social, qui est un préalable nécessaire à cette formation. Il soutient que ce fait ne serait pas établi et qu’il serait « contraire à l’expérience de la vie, lorsque l’on sait que les établissements médico-sociaux recherchent désespérément du personnel ». Or, s’il est notoire qu’il existe des opportunités d’emploi dans les établissements médico-sociaux pour du personnel qualifié, on peut sans peine comprendre qu’il en aille différemment pour un stage d’une semaine effectué par une personne non qualifiée dans un but de formation, qui sollicite le personnel de l’établissement plutôt qu’il ne le soulage. dd) En définitive, dans la mesure où les parties ont opté pour une répartition traditionnelle des rôles durant le mariage, où l’épouse n’a pas travaillé pendant la vie commune qui a duré plus de vingt ans et où, âgée de cinquante-sept ans et sans formation exploitable sur le marché du travail, elle n’a pas retrouvé à ce jour d’activité lucrative malgré les efforts qu’elle déploie en ce sens, le prononcé attaqué échappe à la critique en tant qu’il fixe la contribution d’entretien en application de la méthode du minimum vital avec répartition de l’excédent. Au demeurant, il convient d’observer que les époux, au début de leur séparation qui remonte au</w:t>
      </w:r>
    </w:p>
    <w:p>
      <w:r>
        <w:t>- 11 - mois de mars 2009, avaient convenu du versement à l’intimée d’une contribution d’entretien de 3'500 fr. par mois, précisément en application du principe de la solidarité dont il n’y a pas lieu de se départir aujourd’hui en l’absence de changement fondamental de circonstances.</w:t>
      </w:r>
    </w:p>
    <w:p>
      <w:r>
        <w:rPr>
          <w:b/>
        </w:rPr>
        <w:t>E. 4</w:t>
      </w:r>
    </w:p>
    <w:p>
      <w:r>
        <w:t>a) S’agissant de la fixation des charges incompressibles respectives des parties en application de la méthode du minimum vital avec répartition de l’excédent, l’appelant ne critique le prononcé attaqué que dans la mesure où celui-ci retient dans les charges incompressibles de l’intimée un loyer de 1'760 fr., les autres éléments du calcul n’étant pas contestés. L’appelant estime en effet que l’intimée ne cherche pas à adapter sa situation à ses moyens et que le loyer retenu est manifestement excessif. b) A cet égard, le premier juge a considéré que si l’intimée – qui occupe actuellement un appartement de trois pièces dont le loyer s’élève à 1'760 fr. par mois – devra certes envisager à l’avenir de réduire les coûts liés à son logement, on ne saurait perdre de vue que celle-ci, sans emploi et au bénéfice du RI, aura des difficultés à se reloger, compte tenu aussi de la pénurie de petits logements peu onéreux sur le marché immobilier régional (cf. prononcé, p. 7). Cette appréciation ne peut qu’être partagée. En effet, jusqu’au 1er avril 2011, la fille des parties vivait avec l’intimée, qui, percevant le RI depuis le 1er mai 2011, ne saurait concrètement trouver à bref délai un appartement plus petit au loyer moins élevé, compte tenu de la pénurie notoire de logements et des loyers pratiqués sur le marché régional pour les nouveaux baux. Le prononcé attaqué échappe ainsi à la critique en tant qu’il prend à ce stade en compte, dans les charges incompressibles de l’intimée, un loyer de 1'760 fr. par mois. c) Le calcul de la contribution d’entretien opéré par le premier juge en application de la méthode du minimum vital avec répartition de l’excédent étant conforme au droit fédéral et aux pièces du dossier, le prononcé entrepris doit être confirmé en tant qu’il astreint l’appelant, dès</w:t>
      </w:r>
    </w:p>
    <w:p>
      <w:r>
        <w:t>- 12 - et y compris le 1er juin 2011, à contribuer à l’entretien de son épouse par le régulier versement d’une pension mensuelle de 3'800 fr., payable d’avance le premier jour de chaque mois en mains de la bénéficiaire.</w:t>
      </w:r>
    </w:p>
    <w:p>
      <w:r>
        <w:rPr>
          <w:b/>
        </w:rPr>
        <w:t>E. 5</w:t>
      </w:r>
    </w:p>
    <w:p>
      <w:r>
        <w:t>En conclusion, l’appel doit être rejeté, en application de l’art. 312 al. 1 CPC, et le prononcé confirmé. L’appelant, qui succombe, supportera les frais judiciaires de deuxième instance (art. 106 al. 1 CPC), lesquels doivent être fixés à 600 fr. (art. 65 al. 2 TFJC [tarif du 28 septembre 2010 des frais judiciaires civils, RSV 270.11.5]) et seront compensés avec l’avance fournie (art. 111 al. 1 CPC). Dès lors que l’intimée n’a pas été invitée à déposer de réponse, il n’y a pas lieu de lui allouer de dépens (cf. art. 95 al. 3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A.X.________. IV. L'arrêt motivé est exécutoire.</w:t>
      </w:r>
    </w:p>
    <w:p>
      <w:r>
        <w:t>- 13 - Le juge délégué : La greffière : Du 31 août 2011 Le dispositif de l'arrêt qui précède est communiqué par écrit aux intéressés. La greffière : Du L'arrêt qui précède, dont la rédaction a été approuvée à huis clos, est notifié en expédition complète, par l'envoi de photocopies, à : - Me Yves Hofstetter (pour A.X.________), - Me Diego Bischof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