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JP25.057288 vom 23. Januar 2026</w:t>
      </w:r>
    </w:p>
    <w:p>
      <w:r>
        <w:t>VD Tribunal cantonal, 2026-01-23, FR</w:t>
      </w:r>
    </w:p>
    <w:p>
      <w:r>
        <w:rPr>
          <w:b/>
        </w:rPr>
        <w:t xml:space="preserve">Quelle: </w:t>
      </w:r>
      <w:r>
        <w:t>https://mcp.opencaselaw.ch/entscheid/vd_gerichte_JP25.057288</w:t>
      </w:r>
    </w:p>
    <w:p>
      <w:r>
        <w:t>FR: VD_GERICHTE JP25.057288 du 23 janvier 2026</w:t>
      </w:r>
    </w:p>
    <w:p>
      <w:r>
        <w:t>IT: VD_GERICHTE JP25.057288 del 23 gennaio 2026</w:t>
      </w:r>
    </w:p>
    <w:p>
      <w:pPr>
        <w:pStyle w:val="Heading2"/>
      </w:pPr>
      <w:r>
        <w:t>Erwägungen</w:t>
      </w:r>
    </w:p>
    <w:p>
      <w:r>
        <w:rPr>
          <w:b/>
        </w:rPr>
        <w:t>E. 2.1</w:t>
      </w:r>
    </w:p>
    <w:p>
      <w:r>
        <w:t>Sous l’angle des motifs, le recours est recevable pour violation du droit (art. 320 let. a CPC) et constatation manifestement inexacte des faits (art. 320 let. b CPC). L'autorité de recours dispose d'un plein pouvoir d’examen s'agissant de la violation du droit (Jeandin, in Bohnet et al. [éd.], Commentaire romand, Code de procédure civile, 2e éd., Bâle 2019, 14J010</w:t>
      </w:r>
    </w:p>
    <w:p>
      <w:r>
        <w:t>- 6 - nn. 2 ss ad art. 320 CPC ; Spühler, Basler Kommentar, Schweizerische Zivilprozessordnung [ZPO], 3e éd., 2017,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4-5 ad art. 321 CPC et réf. cit).</w:t>
      </w:r>
    </w:p>
    <w:p>
      <w:r>
        <w:rPr>
          <w:b/>
        </w:rPr>
        <w:t>E. 2.2.1</w:t>
      </w:r>
    </w:p>
    <w:p>
      <w:r>
        <w:t>Le recours doit contenir, sous peine d'irrecevabilité, des conclusions, en annulation ou au fond (Jeandin, op. cit., n. 5 ad art. 321 CPC), soit ce que la partie veut que le tribunal lui alloue dans sa décision (CREC 10 mai 2022/72 consid. 1.1.5).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ce qui implique de chiffrer ses conclusions en matière pécuniaire (TF 4D_71/2020 du 23 février 2021 consid. 3.1, publié in RSPC 2021 p. 603 avec note de Droese ; CREC 7 avril 2022/92 consid. 1.1). Lorsque le litige a pour objet une somme d'argent, les conclusions doivent être chiffrées, exigence qui s'applique aussi à la contestation des dépens (ATF 143 III 111 consid. 1.2 ; TF 4A_143/2024 du 27 janvier 2025 consid. 1.4).</w:t>
      </w:r>
    </w:p>
    <w:p>
      <w:r>
        <w:rPr>
          <w:b/>
        </w:rPr>
        <w:t>E. 2.2.2</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réf. cit.). 14J010</w:t>
      </w:r>
    </w:p>
    <w:p>
      <w:r>
        <w:t>- 7 -</w:t>
      </w:r>
    </w:p>
    <w:p>
      <w:r>
        <w:rPr>
          <w:b/>
        </w:rPr>
        <w:t>E. 2.3</w:t>
      </w:r>
    </w:p>
    <w:p>
      <w:r>
        <w:t>En l’occurrence, les recourants prennent des conclusions subsidiaires en réforme, reprochant au président de ne pas leur avoir alloué de dépens de première instance. Ils ne prennent toutefois pas de conclusions chiffrées, si bien que leurs conclusions subsidiaires sont irrecevables.</w:t>
      </w:r>
    </w:p>
    <w:p>
      <w:r>
        <w:rPr>
          <w:b/>
        </w:rPr>
        <w:t>E. 3</w:t>
      </w:r>
    </w:p>
    <w:p>
      <w:r>
        <w:t>S’agissant des conclusions principales, celles-ci tendent à ce que la décision attaquée soit « rapportée », c’est-à-dire annulée. Les recourants soulèvent à cet égard deux moyens, soit un déni de justice et une violation de leur droit d’être entendus.</w:t>
      </w:r>
    </w:p>
    <w:p>
      <w:r>
        <w:rPr>
          <w:b/>
        </w:rPr>
        <w:t>E. 3.1</w:t>
      </w:r>
    </w:p>
    <w:p>
      <w:r>
        <w:t>Le droit d'être entendu garanti par l'art. 29 al. 2 Cst. impose au juge de motiver sa décision, permettant ainsi au justiciable d'exercer son droit de recours en connaissance de cause et à l'autorité de recours d'exercer un contrôle efficace (ATF 136 l 229 consid. 5.2 ; 121 l 54 consid. 2c ; TF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et réf. cit.). En principe, la violation du droit d'être entendu entraîne l'annulation de la décision attaquée, indépendamment des chances de succès du recours sur le fond. Cela étant, la jurisprudence admet qu'un manquement à ce droit puisse être considéré comme réparé lorsque la 14J010</w:t>
      </w:r>
    </w:p>
    <w:p>
      <w:r>
        <w:t>- 8 -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135 l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137 l 195 consid. 2.3.2).</w:t>
      </w:r>
    </w:p>
    <w:p>
      <w:r>
        <w:rPr>
          <w:b/>
        </w:rPr>
        <w:t>E. 3.2</w:t>
      </w:r>
    </w:p>
    <w:p>
      <w:r>
        <w:t>Les recourants se plaignent tout d’abord d’un déni de justice de la part du président, celui-ci ayant selon eux rayé la cause du rôle sans s’être au préalable prononcé sur leurs déterminations du 16 décembre 2025, dans lesquelles ils concluaient notamment à la fixation de dépens. En l’occurrence, on ne discerne aucun déni de justice puisque précisément une décision a été rendue. Entre la décision attaquée et le courrier du président du 8 janvier 2026, les recourants ont pu discerner les motifs ayant conduit le président à ne pas leur allouer de dépens de première instance, comme cela sera confirmé ci-après.</w:t>
      </w:r>
    </w:p>
    <w:p>
      <w:r>
        <w:rPr>
          <w:b/>
        </w:rPr>
        <w:t>E. 3.3</w:t>
      </w:r>
    </w:p>
    <w:p>
      <w:r>
        <w:t>Les recourants invoquent ensuite une violation de leur droit d'être entendus, soit une absence de motivation s'agissant du refus de leur allouer des dépens. En réponse à une interpellation des recourants, le président a indiqué par lettre à leur conseil du 8 janvier 2026 ne pas avoir ignoré leur requête tendant à l'octroi de dépens, mais ne pas vouloir leur en allouer, en raison de sa décision du 27 novembre 2025 – faisant état de son incompétence ratione materiae – qui aurait justifié une demande de leur part pour s'assurer que la procédure continuait bel et bien. Les recourants ont ainsi obtenu la motivation requise. Dans ces circonstances, l'annulation de la décision attaquée constituerait une vaine formalité. En outre, les 14J010</w:t>
      </w:r>
    </w:p>
    <w:p>
      <w:r>
        <w:t>- 9 - recourants ont interjeté un recours en réforme irrecevable, de sorte que si la décision attaquée devait être annulée, cela reviendrait à réparer le vice des conclusions formulées en deuxième instance, alors que, s'agissant de l'absence de conclusions chiffrées, il s'agit d'un vice irréparable.</w:t>
      </w:r>
    </w:p>
    <w:p>
      <w:r>
        <w:rPr>
          <w:b/>
        </w:rPr>
        <w:t>E. 4</w:t>
      </w:r>
    </w:p>
    <w:p>
      <w:r>
        <w:t>En conclusion, le recours, manifestement mal fondé, doit être rejeté selon le mode procédural prévu par l’art. 322 al. 1 in fine CPC et la décision attaquée confirmée.</w:t>
      </w:r>
    </w:p>
    <w:p>
      <w:r>
        <w:rPr>
          <w:b/>
        </w:rPr>
        <w:t>E. 4.1</w:t>
      </w:r>
    </w:p>
    <w:p>
      <w:r>
        <w:t>Les frais judiciaires de deuxième instance, arrêtés à 200 fr. (art. 69 al. 1 et 70 al. 2 TFJC), doivent être mis à la charge des recourants, qui succombent (art. 106 al. 1 CPC) et qui en ont fait l’avance (art. 111 al. 1 CPC) ; ils seront répartis par moitié entre eux (art. 106 al. 3, 1ère phrase, CPC).</w:t>
      </w:r>
    </w:p>
    <w:p>
      <w:r>
        <w:rPr>
          <w:b/>
        </w:rPr>
        <w:t>E. 4.2</w:t>
      </w:r>
    </w:p>
    <w:p>
      <w:r>
        <w:t>Il n’y a pas lieu à l’allocation de dépens de deuxième instance, l’intimé n’ayant pas été invité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des recourants G.________ par 100 fr. (cent francs) et de C.________ par 100 fr. (cent francs). 14J010</w:t>
      </w:r>
    </w:p>
    <w:p>
      <w:r>
        <w:t>- 10 - IV. L’arrêt est exécutoire. La présidente : La greffière : Du L'arrêt qui précède, dont la rédaction a été approuvée à huis clos, est notifié à : - Me Richard Philippe, avocat (pour les recourants G.________ et C.________), - Me Florian Godbille, avocat (pour l’intimé D.________),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