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JP25.025568 vom 6. November 2025</w:t>
      </w:r>
    </w:p>
    <w:p>
      <w:r>
        <w:t>VD Tribunal cantonal, 2025-11-06, FR</w:t>
      </w:r>
    </w:p>
    <w:p>
      <w:r>
        <w:rPr>
          <w:b/>
        </w:rPr>
        <w:t xml:space="preserve">Quelle: </w:t>
      </w:r>
      <w:r>
        <w:t>https://mcp.opencaselaw.ch/entscheid/vd_gerichte_JP25.025568</w:t>
      </w:r>
    </w:p>
    <w:p>
      <w:r>
        <w:t>FR: VD_GERICHTE JP25.025568 du 6 novembre 2025</w:t>
      </w:r>
    </w:p>
    <w:p>
      <w:r>
        <w:t>IT: VD_GERICHTE JP25.025568 del 6 novembre 2025</w:t>
      </w:r>
    </w:p>
    <w:p>
      <w:pPr>
        <w:pStyle w:val="Heading2"/>
      </w:pPr>
      <w:r>
        <w:t>Erwägungen</w:t>
      </w:r>
    </w:p>
    <w:p>
      <w:r>
        <w:rPr>
          <w:b/>
        </w:rPr>
        <w:t>E. 1</w:t>
      </w:r>
    </w:p>
    <w:p>
      <w:r>
        <w:t>- 5 -</w:t>
      </w:r>
    </w:p>
    <w:p>
      <w:r>
        <w:rPr>
          <w:b/>
        </w:rPr>
        <w:t>E. 1.1</w:t>
      </w:r>
    </w:p>
    <w:p>
      <w:r>
        <w:t>L’art. 110 CPC ouvre la voie du recours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de dix jours contre les décisions prises en procédure sommaire, soit notamment les procédures provisionnelles (art. 248 let. d CPC), ainsi que contre les autres décisions et ordonnances d’instruction de première instance, à moins que la loi n’en dispose autrement (art. 321 al. 2 CPC). Formé en temps utile, dans les formes prescrites, séparément contre une décision sur les frais et par une partie qui a un intérêt digne de protection (art. 59 al. 2 let. a CPC), le recours est recevable.</w:t>
      </w:r>
    </w:p>
    <w:p>
      <w:r>
        <w:rPr>
          <w:b/>
        </w:rPr>
        <w:t>E. 1.2</w:t>
      </w:r>
    </w:p>
    <w:p>
      <w:r>
        <w:t>En procédure de recours, les conclusions, les allégations de faits et les preuves nouvelles sont irrecevables (art. 326 al. 1 CPC). Outre le prononcé querellé (qui est une pièce de forme), la recourante a produit cinq pièces à l’appui de son recours. On constate qu’hormis le courrier de l’intimée à la présidente du 15 septembre 2025 (cf. supra, let. C, i), les pièces produites ne figurent pas dans le dossier de première instance. Constituant des pièces nouvelles, elles sont dès lors irrecevables.</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w:t>
      </w:r>
    </w:p>
    <w:p>
      <w:r>
        <w:t>- 6 - l’arbitraire (TF 5D_18/2023 du 2 juin 2023 consid. 2.2 ; TF 5D_214/2021 du</w:t>
      </w:r>
    </w:p>
    <w:p>
      <w:r>
        <w:rPr>
          <w:b/>
        </w:rPr>
        <w:t>E. 2.2</w:t>
      </w:r>
    </w:p>
    <w:p>
      <w:r>
        <w:t>Pour être recevable, le recours doit être motivé (art. 321 al. 1 CPC) et doit contenir, sous peine d’irrecevabilité, des conclusions, en annulation ou au fond, soit ce que la partie veut que le tribunal lui alloue dans sa décision (entre autres : CREC 15 janvier 2024/10 consid. 3.1.2 ; CREC 21 décembre 2023/266 consid. 5.1.1 ; CREC 21 novembre 2023/237 consid. 3.1.2). Les demandes portant sur le paiement d’une somme d’argent doivent être chiffrées (ATF 142 III 102 consid. 5.3.1 ; TF 5A_65/2022 du 16 janvier 2023 consid. 3.3.1). 3. La recourante fait valoir que les dépens alloués à l'intimée seraient arbitraires, que sa partie adverse n'aurait pas agi de bonne foi, que l’avocat de celle-ci n'aurait pas chiffré ses prétentions, que les dépens seraient disproportionnés et que la décision attaquée serait insuffisamment motivée. 3.1 3.1.1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références citées).</w:t>
      </w:r>
    </w:p>
    <w:p>
      <w:r>
        <w:t>- 7 - Ce droit impose également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références citées ; TF 4A_524/2023 du 1er juillet 2024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TF 5A_788/2022 du 18 janvier 2024 consid. 3.1). Le droit d'être entendu est une garantie constitutionnelle de caractère formel, dont la violation entraîne en principe l'annulation de la décision attaquée, indépendamment des chances de succès du recours sur le fond (ATF 144 I 11 consid. 5.3 ; 143 IV 380 consid. 1.4.1, SJ 2018 I 293 ; TF 5A_723/2022 du 24 août 2023 consid. 3.1). 3.1.2 Les frais comprennent les frais judiciaires et les dépens, ces derniers comprenant notamment les débours nécessaires et le défraiement d’un représentant professionnel (art. 95 al. 1 et al. 3 let. a et b CPC ; art. 1 al. 1 let. a et b TDC). Les frais sont mis à la charge de la partie succombante, soit le demandeur en cas de désistement d’action (art. 106 al. 1 CPC ; art. 3 al. 1 TDC). Le tribunal est toutefois libre de s’écarter de ces règles et de les répartir selon sa libre appréciation, en statuant selon les règles du droit et de l’équité (cf. art. 4 CC [Code civil suisse du 10 décembre 1907 ; RS 210]), dans les hypothèses prévues par l’art. 107 CPC, qui est de nature potestative (TF 4A_375/2023 du 25 juin 2024 consid. 3.1.2). L’art. 107 CPC</w:t>
      </w:r>
    </w:p>
    <w:p>
      <w:r>
        <w:t>- 8 - doit cependant être appliqué restrictivement (TF 5D_69/2017 du 14 juillet 2017 consid. 3.3.1 ; TF 1C_350/2016 du 2 février 2017 consid. 2.3.2 et les références citées). Le tribunal peut notamment s’écarter des règles générales et répartir les frais selon sa libre appréciation lorsqu'une partie a intenté le procès de bonne foi (art. 107 al. 1 let. b CPC). On peut admettre qu'un procès est introduit de bonne foi au sens de cette disposition lorsque la partie gagnante a provoqué, par son comportement antérieur à la procédure, l'introduction d'un procès qui aurait pu être évité (TF 4A_17/2017 du 7 septembre 2017 consid. 4.1). Il en va de même si des circonstances particulières rendent la répartition des frais en fonction du sort de la cause inéquitable (art. 107 al. 1 let. f CPC). Cette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 TF 5D_69/2017 précité consid. 3.3.1 ; TF 4A_535/2015 du 1er juin 2016 consid. 6.4.1). L’inégalité économique ne justifie en règle générale pas à elle seule de déroger aux principes généraux de répartition selon le sort de la cause, car une telle inégalité existe presque à chaque fois (Bohnet, CPC augmenté, Neuchâtel 2025, n. 7 ad art. 107 CPC). L’art. 107 al. 1 let. f CPC peut aussi trouver application lorsqu’il s’avère que la partie recourante a fait un usage dilatoire et abusif de la procédure (ATF 143 III 46 consid. 3 et les références citées ; TF 5D_69/2017 précité consid. 3.3.1). 3.1.3 Dans le cadre du CPC, les dépens ne sont fixés que sur demande (art. 105 al. 1 CPC ; ATF 139 III 334 consid. 4.3 ; TF 4A_418/2024 du 20 décembre 2024 consid. 6.1, destiné à la publication). Cette exigence doit s’entendre sans trop de formalisme et des conclusions chiffrées ne sont pas nécessaires. Il suffit de prendre des conclusions sur le fond « avec suite de frais et dépens » (TF 4A_106/2021 du 8 août 2022 consid. 3.1). En l’absence d’une requête chiffrée, les tribunaux fixent les dépens</w:t>
      </w:r>
    </w:p>
    <w:p>
      <w:r>
        <w:t>- 9 - selon leur appréciation, sur la base du tarif cantonal (art. 105 al. 2 CPC en lien avec l’art. 96 CPC ; ATF 140 III 444 consid. 3.2.2). 3.2 En l’espèce, les moyens de la recourante doivent être rejetés. La motivation du prononcé querellé est détaillée et largement suffisante pour répondre à ses objections. La recourante a retiré sa requête du 2 juin 2025 de sorte qu'elle est réputée avoir succombé. L'art. 107 CPC n'est pas applicable pour les motifs énoncés par la présidente. En effet, rien dans le comportement de l’intimée en procédure ne justifiait qu'elle supporte une partie des frais en équité ; il en va de même du seul fait qu’il existerait une inégalité économique entre les parties (qui est de facto quasi systématique entre une société PME et une banque). Les dépens, qui n'avaient pas à être chiffrés, ont été fixés dans le respect de l'art. 6 TDC, compte tenu de la valeur litigieuse, le montant correspondant par ailleurs à une indemnisation raisonnable des frais de procédure pour le dépôt par un avocat de déterminations écrites et ceux d'assistance à sa mandante. 4. En définitive, le recours, manifestement mal fondé, doit être rejeté selon le mode procédural de l’art. 322 al. 1 in fine CPC et le prononcé entrepris confirmé. 4.1 Les frais judiciaires de deuxième instance, arrêtés à 100 fr. (art. 69 al. 1 TFJC [tarif des frais judiciaires civils du 28 septembre 2010 ; BLV 270.11.5]), sont mis à la charge de la recourante, qui succombe (art. 106 al. 1 CPC) et qui en a fait l’avance (art. 111 al. 1 CPC). 4.2 Il n’y a pas lieu d’allouer des dépens de deuxième instance, l’intimée n’ayant pas été invitée à procéder.</w:t>
      </w:r>
    </w:p>
    <w:p>
      <w:r>
        <w:t>- 10 -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T.________ Sàrl. IV. Il n’y a pas lieu à l’allocation de dépens de deuxième instance. V. L’arrêt est exécutoire. La présidente : La greffière : Du L'arrêt qui précède, dont la rédaction a été approuvée à huis clos, est notifié en expédition complète, par l'envoi de photocopies, à : - T.________ Sàrl, - Me Bertrand Demierre, avocat (pour la S.________), La Chambre des recours civile considère que la valeur litigieuse est inférieure à 10’000 francs. Le présent arrêt peut faire l'objet d'un recours en matière civile devant le Tribunal fédéral au sens des art. 72 ss LTF (loi du 17 juin</w:t>
      </w:r>
    </w:p>
    <w:p>
      <w:r>
        <w:t>- 11 - 2005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r>
        <w:rPr>
          <w:b/>
        </w:rPr>
        <w:t>E. 6</w:t>
      </w:r>
    </w:p>
    <w:p>
      <w:r>
        <w:t>mai 2022 consid. 2.2.1 ; TF 4D_30/2017 du 5 décembre 2017 consid. 2.2 et la référence citée).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144 I 113 consid.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