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JP24.054779 vom 7. Oktober 2025</w:t>
      </w:r>
    </w:p>
    <w:p>
      <w:r>
        <w:t>VD Tribunal cantonal, 2025-10-07, FR</w:t>
      </w:r>
    </w:p>
    <w:p>
      <w:r>
        <w:rPr>
          <w:b/>
        </w:rPr>
        <w:t xml:space="preserve">Quelle: </w:t>
      </w:r>
      <w:r>
        <w:t>https://mcp.opencaselaw.ch/entscheid/vd_gerichte_JP24.054779</w:t>
      </w:r>
    </w:p>
    <w:p>
      <w:r>
        <w:t>FR: VD_GERICHTE JP24.054779 du 7 octobre 2025</w:t>
      </w:r>
    </w:p>
    <w:p>
      <w:r>
        <w:t>IT: VD_GERICHTE JP24.054779 del 7 ottobre 2025</w:t>
      </w:r>
    </w:p>
    <w:p>
      <w:pPr>
        <w:pStyle w:val="Heading2"/>
      </w:pPr>
      <w:r>
        <w:t>Erwägungen</w:t>
      </w:r>
    </w:p>
    <w:p>
      <w:r>
        <w:rPr>
          <w:b/>
        </w:rPr>
        <w:t>E. 1</w:t>
      </w:r>
    </w:p>
    <w:p>
      <w:r>
        <w:t>a) N.________ et sa sœur, l’appelante, forment la communauté héréditaire de [...]. b) Cette dernière était notamment propriétaire de la parcelle n° [...] de la commune de [...] (ci-après : la parcelle), qui est estimée fiscalement à 196'000 fr. au Registre foncier de [...].</w:t>
      </w:r>
    </w:p>
    <w:p>
      <w:r>
        <w:t>- 3 - c) Dans le cadre de la faillite de N.________ prononcée le 13 juillet 2021, la part héréditaire de ce dernier a été saisie. d) L’appelante a proposé de la racheter. e) Sans opposition des créanciers, cette vente a été exécutée pour un montant de 150'000 francs. f) Sur plainte du failli N.________ du 11 avril 2022, la Cour des poursuites et faillites du Tribunal cantonal a annulé cette vente par arrêt du 24 avril 2023. En substance, elle a considéré que l’annulation de la décision impliquait d’office l'annulation des actes de transfert de propriété intervenus postérieurement à la vente de la part successorale, étant entendu que l'admission d'une plainte et l'annulation de la décision qui en est l'objet produit des effets ex tunc et fait ainsi tomber tous les actes de procédure qui en ont été la suite, même si la plainte n'a pas été assortie de l'effet suspensif. g) Par arrêts du 21 juin 2023, le Tribunal fédéral a déclaré irrecevables les recours de l’appelante et de l’Office des faillites de l’arrondissement de l’Est vaudois contre l'arrêt susvisé. h) Dans l’intervalle, soit le 12 juin 2023, l’appelante a grevé la parcelle de trois cédules hypothécaires en mains de l’intimée 2. i) La masse en faillite de P.________, soit l’intimée 1, a requis en vain, du Registre foncier de [...], la réinscription de la communauté héréditaire comme propriétaire, faute d’accord de l’intimée 2.</w:t>
      </w:r>
    </w:p>
    <w:p>
      <w:r>
        <w:t>- 4 -</w:t>
      </w:r>
    </w:p>
    <w:p>
      <w:r>
        <w:rPr>
          <w:b/>
        </w:rPr>
        <w:t>E. 1.1</w:t>
      </w:r>
    </w:p>
    <w:p>
      <w:r>
        <w:t>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L’appel, écrit et motivé, est introduit auprès de l’instance d’appel, soit la Cour d’appel civile (art. 84 al. 1 LOJV [loi vaudoise d’organisation judiciaire du 12 décembre 1979 ; BLV 173.01]). Lorsque la décision attaquée a été rendue en procédure sommaire, comme c’est le cas dans la procédure en cas clair (art. 248 let. b CPC) et en cas de mesures provisionnelles (art. 248 let. d CPC), le délai d’appel est de dix jours à compter de la notification de la décision motivée (art. 314 al. 1 CPC). Formé en temps utile par une partie qui a un intérêt digne de protection (art. 59 al. 2 let. a CPC) contre une ordonnance de mesures</w:t>
      </w:r>
    </w:p>
    <w:p>
      <w:r>
        <w:t>- 5 - provisionnelles portant sur des conclusions qui, capitalisées (art. 92 al. 2 CPC), sont supérieures à 10'000 fr., la voie de l’appel est ouverte et l’appel est recevable.</w:t>
      </w:r>
    </w:p>
    <w:p>
      <w:r>
        <w:rPr>
          <w:b/>
        </w:rPr>
        <w:t>E. 1.2</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2</w:t>
      </w:r>
    </w:p>
    <w:p>
      <w:r>
        <w:t>Sans contester les faits établis par la juge déléguée, l’appelante se plaint que l’intimée 1 n’aurait pas rendu son droit au fond vraisemblable, de sorte que les conditions du cas clair ne seraient pas remplies. Plus précisément, elle soutient que l’action en rectification du registre foncier au sens de l’art. 975 CC (Code civil suisse du 10 décembre 1907 ; RS 210) serait réservée aux situations dans lesquelles une inscription erronée aurait été faite sans cause légitime. La prétention de l’intimée 1 étant de nature successorale, la pétition d’hérédité ne serait pas ouverte entre héritiers. Il fallait dès lors ouvrir une action en partage. Enfin, dans la procédure de cas clairs, le droit du requérant ne devait pas simplement être rendu vraisemblable, mais devait être limpide, ce qui n’était selon elle pas le cas en l’espèce.</w:t>
      </w:r>
    </w:p>
    <w:p>
      <w:r>
        <w:rPr>
          <w:b/>
        </w:rPr>
        <w:t>E. 2.2.1</w:t>
      </w:r>
    </w:p>
    <w:p>
      <w:r>
        <w:t>Le processus d'acquisition dérivée d'un droit réel suppose la réunion de deux éléments : un titre d'acquisition et une opération d'acquisition (Steinauer, Les droits réels, tome I, 6e éd. 2019, nn. 131 ss). Le titre d'acquisition est en principe un acte générateur d'obligations, par exemple un contrat de vente (Steinauer, op. cit., n. 132). Quant à l'opération d'acquisition, elle comprend un acte de disposition et un acte matériel (Steinauer, op. cit., nn. 133 à 135). En matière immobilière, l'acte de disposition et l'acte matériel sont constitués par la réquisition</w:t>
      </w:r>
    </w:p>
    <w:p>
      <w:r>
        <w:t>- 6 - d'inscription du droit au registre foncier, respectivement par l'inscription de ce droit au même registre (ibidem). Au sujet de ce dernier point, l'art. 971 al. 1 CC précise qu'un droit réel dont la constitution est subordonnée à une inscription au registre foncier n'existe comme tel que si cette inscription a été opérée (principe absolu de l'inscription). Dans le domaine du principe absolu, la règle de l'inscription est tenue en échec par le principe de la légalité (ou de la causalité), principe que la jurisprudence déduit de l'art. 974 al. 2 CC. En effet, l'opération d'acquisition d'un droit réel n'étant valable que si sa cause – c'est-à-dire le titre d'acquisition – est valable, l'inscription au registre foncier ne suffit pas à elle seule à transférer le droit réel. L'art. 974 al. 2 CC prévoit donc que l'inscription est faite indûment lorsqu'elle a été opérée sans droit ou en vertu d'un acte juridique non obligatoire. En d'autres termes, l'inscription constitutive est indue chaque fois qu'il manque l'une de ses deux conditions matérielles, à savoir un titre d'acquisition valable et une réquisition émanant de la personne compétente (acte de disposition). Est ainsi indue l'inscription opérée sur la base d'une cause non valable, par exemple d'une vente nulle en raison d'un vice de forme ou invalidée pour vice de la volonté ou lésion ; l'absence de réquisition d'inscription, le défaut de pouvoir de disposer de la personne qui l'a effectuée ou le vice de la volonté dont celle-ci est entachée rendent également indue l'inscription opérée (TF 5A_846/2009 du 12 mars 2010 consid. 3.2 et les références citées). Le redressement d'une inscription opérée indûment au registre foncier peut être obtenu par l'action en rectification du registre foncier de l'art. 975 al. 1 CC (TF 5A_846/2009 précité consid. 3.2). Aux termes de cette disposition, celui dont les droits réels ont été lésés par une inscription faite ou par des inscriptions modifiées ou radiées sans cause légitime, peut en exiger la radiation ou la modification. Peut agir en rectification en application de l'art. 975 al. 1 CC le titulaire du droit réel lésé ou la personne dont il est prouvé qu'elle est inscrite indûment, par exemple celle qui a acheté en vertu d'un contrat de vente nul (Steinauer, op. cit., nn. 980 à 983a). Quant à la qualité pour défendre, elle appartient</w:t>
      </w:r>
    </w:p>
    <w:p>
      <w:r>
        <w:t>- 7 - à celui qui tire avantage, directement ou indirectement, de l'opération indue (Steinauer, op. cit., nn. 984 s.). Enfin, le demandeur doit établir que l'inscription a été opérée sans cause, c'est à dire que les conditions de fond de l'opération, en l'occurrence de l'inscription au registre foncier, n'étaient pas remplies à la date à laquelle celle-ci a été effectuée (Steinauer, op. cit., nn. 954 ss et 986).</w:t>
      </w:r>
    </w:p>
    <w:p>
      <w:r>
        <w:rPr>
          <w:b/>
        </w:rPr>
        <w:t>E. 2.2.2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références citées), la situation juridique n’est pas claire si l’application d’une norme nécessite l’exercice d’un certain pouvoir d’appréciation de la</w:t>
      </w:r>
    </w:p>
    <w:p>
      <w:r>
        <w:t>- 8 - part du juge ou que celui-ci doit rendre une décision en équité, en tenant compte des circonstances concrètes de l’espèce (ATF 144 III 462 précité consid. 3.1 ; 141 III 23 précité consid. 3.2).</w:t>
      </w:r>
    </w:p>
    <w:p>
      <w:r>
        <w:rPr>
          <w:b/>
        </w:rPr>
        <w:t>E. 2.3</w:t>
      </w:r>
    </w:p>
    <w:p>
      <w:r>
        <w:t>En l’espèce, les griefs de l’appelante doivent être rejetés. En effet, la vente a été annulée avec effet ex tunc, ce qui signifie qu’il n’y avait pas de cause valable au transfert. Et ainsi l’inscription opérée sur la base d’une vente nulle était indue (cf. TF 5A_846/2009 du 12 mars 2010 consid. 3.2 susvisé). L’action de l’intimée 1 vise à faire réinscrire la communauté héréditaire en tant que propriétaire de la parcelle. Cela ne relève pas de l’action en partage au sens de l’art. 604 CC comme le soutient l’appelante. Enfin, les faits – qui ne sont pas contestés par l’appelante – rendent la cause suffisamment claire pour qu’au stade des mesures provisionnelles, la requête au fond puisse être considérée comme étant recevable.</w:t>
      </w:r>
    </w:p>
    <w:p>
      <w:r>
        <w:rPr>
          <w:b/>
        </w:rPr>
        <w:t>E. 3</w:t>
      </w:r>
    </w:p>
    <w:p>
      <w:r>
        <w:t>En définitive, l’appel, manifestement mal fondé, doit être rejeté en application de l’art. 312 al. 1 in fine CPC et l’ordonnance entreprise confirmée.</w:t>
      </w:r>
    </w:p>
    <w:p>
      <w:r>
        <w:rPr>
          <w:b/>
        </w:rPr>
        <w:t>E. 3.1</w:t>
      </w:r>
    </w:p>
    <w:p>
      <w:r>
        <w:t>Les frais judiciaires de deuxième instance, arrêtés à 800 fr. (art. 62 al. 1 TFJC [tarif des frais judiciaires civils du 28 septembre 2010 ; BLV 270.11.5), seront mise à la charge de l’appelante qui succombe (art. 106 al. 1 CPC) et qui en a fait l’avance.</w:t>
      </w:r>
    </w:p>
    <w:p>
      <w:r>
        <w:rPr>
          <w:b/>
        </w:rPr>
        <w:t>E. 3.2</w:t>
      </w:r>
    </w:p>
    <w:p>
      <w:r>
        <w:t>Il ne sera pas alloué de dépens de deuxième instance, dès lors que les intimées n’ont pas été invitées à se déterminer sur l’appel.</w:t>
      </w:r>
    </w:p>
    <w:p>
      <w:r>
        <w:t>- 9 - Par ces motifs, la Juge unique de la Cour d’appel civile prononce : I. L’appel est rejeté. II. L’ordonnance est confirmée. III. Les frais judiciaires de deuxième instance, arrêtés à 800 fr. (huit cents francs), sont mis à la charge de l’appelante S.________. IV. Il n’y a pas lieu à l’allocation de dépens de deuxième instance. V. L’arrêt est exécutoire. La juge unique : La greffière : Du Le présent arrêt, dont la rédaction a été approuvée à huis clos, est notifié en expédition complète à : - Mme S.________, - Me Jean-Luc Tschumy, avocat (pour P.________), - Me Stefan Graf, avocat (pour la Z.________), et communiqué, par l'envoi de photocopies, à : - Mme la Juge déléguée de la Chambre patrimoniale cantonale.</w:t>
      </w:r>
    </w:p>
    <w:p>
      <w:r>
        <w:t>- 10 - La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