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JP24.015972 vom 30. September 2024</w:t>
      </w:r>
    </w:p>
    <w:p>
      <w:r>
        <w:t>VD Tribunal cantonal, 2024-09-30, FR</w:t>
      </w:r>
    </w:p>
    <w:p>
      <w:r>
        <w:rPr>
          <w:b/>
        </w:rPr>
        <w:t xml:space="preserve">Quelle: </w:t>
      </w:r>
      <w:r>
        <w:t>https://mcp.opencaselaw.ch/entscheid/vd_gerichte_JP24.015972</w:t>
      </w:r>
    </w:p>
    <w:p>
      <w:r>
        <w:t>FR: VD_GERICHTE JP24.015972 du 30 septembre 2024</w:t>
      </w:r>
    </w:p>
    <w:p>
      <w:r>
        <w:t>IT: VD_GERICHTE JP24.015972 del 30 settembre 2024</w:t>
      </w:r>
    </w:p>
    <w:p>
      <w:pPr>
        <w:pStyle w:val="Heading2"/>
      </w:pPr>
      <w:r>
        <w:t>Erwägungen</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consid. 4.3.1 ;</w:t>
      </w:r>
    </w:p>
    <w:p>
      <w:r>
        <w:t>- 8 - TF 5A_268/2022 du 18 mai 2022 consid. 4 ; TF 5A_577/2020 du 16 décembre 2020 consid. 5).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w:t>
      </w:r>
    </w:p>
    <w:p>
      <w:r>
        <w:rPr>
          <w:b/>
        </w:rPr>
        <w:t>E. 3.2</w:t>
      </w:r>
    </w:p>
    <w:p>
      <w:r>
        <w:t>Dans une partie intitulée « Rappel des faits » de leur mémoire, les appelants énoncent 95 allégués de faits, en y adjoignant des offres de preuve. Cela étant, on y distingue aucun grief de constatation inexacte des faits motivés. En particulier, les appelants n’exposent pas en quoi les faits allégués n’auraient pas été retenus à tort par le premier juge, étant précisé qu’il n’appartient pas au juge d’appel de procéder à une comparaison entre le mémoire d’appel et l’état de fait de la décision de première instance. Cette partie de l’appel est donc irrecevable. Par ailleurs, à l’appui de leur appel, les appelants ont produit un bordereau de presque quarante pièces. Parmi celles-ci, plusieurs semblent ne pas avoir été produites en première instance, de sorte que leur admissibilité serait soumise aux conditions de l’art. 317 al. 1 CPC. Cela étant, cette question peut souffrir de demeurer ouverte au vu de l’issue de l’appel.</w:t>
      </w:r>
    </w:p>
    <w:p>
      <w:r>
        <w:rPr>
          <w:b/>
        </w:rPr>
        <w:t>E. 4.1</w:t>
      </w:r>
    </w:p>
    <w:p>
      <w:r>
        <w:t>Les appelants font valoir en substance que ce serait à tort que le premier juge a fondé son analyse de leur requête de mesures provisionnelles sur les art. 815 CO et 823 al. 1 CO, dans la mesure où leur action au fond serait en réalité fondée sur l’art. 821 al. 3 CO, soit une demande de dissolution de la société.</w:t>
      </w:r>
    </w:p>
    <w:p>
      <w:r>
        <w:t>- 9 -</w:t>
      </w:r>
    </w:p>
    <w:p>
      <w:r>
        <w:rPr>
          <w:b/>
        </w:rPr>
        <w:t>E. 4.2.1</w:t>
      </w:r>
    </w:p>
    <w:p>
      <w:r>
        <w:t>Selon l’art. 821 al. 3 CO, chaque associé peut requérir du tribunal la dissolution de la société pour de justes motifs. Le tribunal peut adopter une autre solution, adaptée aux circonstances et acceptable pour les intéressés, notamment l’indemnisation de l’associé demandeur pour ses parts sociales à leur valeur réelle. L’action en dissolution est dirigée contre la société (Stäubli/Hohler, Basler Kommentar, Obligationenrecht II, 6e éd., Bâle 2024, n. 22 ad art. 821 CO ; Buchwalder, Commentaire romand, Code des obligations II, 2e éd., Bâle 2017, n. 36 ad art. 821 CO).</w:t>
      </w:r>
    </w:p>
    <w:p>
      <w:r>
        <w:rPr>
          <w:b/>
        </w:rPr>
        <w:t>E. 4.2.2</w:t>
      </w:r>
    </w:p>
    <w:p>
      <w:r>
        <w:t>Dans une procédure relative au départ d’un associé, le tribunal peut, sur requête d’une partie, décider que tout ou partie des droits et obligations de l’associé concerné sont suspendus (art. 824 CO). Cette disposition reçoit une interprétation large et les mesures provisionnelles peuvent également être requises en relation avec une demande de dissolution de la société pour justes motifs (cf. Buchwalder, op. cit., n. 2 ad art. 824 CO).</w:t>
      </w:r>
    </w:p>
    <w:p>
      <w:r>
        <w:rPr>
          <w:b/>
        </w:rPr>
        <w:t>E. 4.3</w:t>
      </w:r>
    </w:p>
    <w:p>
      <w:r>
        <w:t>En l’espèce, les appelants estiment disposer de la légitimation active dans le cadre de l’action au fond en dissolution de E.________ Sàrl et I.________ Sàrl qu’ils entendent déposer. Par ailleurs, l’intimé aurait la légitimation passive dans le cadre des mesures provisionnelles, objet du litige, fondées sur l’art. 824 CO. Il convient tout d’abord de relever que les appelants paraissent avoir modifié le fondement de leur action entre le dépôt de leur requête de mesures provisionnelles du 11 avril 2024 et leur mémoire d’appel. En effet, dans la première, ils se fondaient expressément sur l’art. 815 al. 2 CO et donc la possibilité pour chaque associé de requérir du tribunal qu’il limite les pouvoirs de gestion et de représentation d’un gérant. Or, aujourd’hui, ils plaident un fondement différent, soit celui de l’art. 821 al 3 CO, permettant à chaque associé de requérir la dissolution de la société.</w:t>
      </w:r>
    </w:p>
    <w:p>
      <w:r>
        <w:t>- 10 - La question de la recevabilité de cette modification peut rester indécise en l’état au vu de ce qui suit. En effet, les appelants omettent que l’action de l’art. 821 al. 3 CO doit être dirigée contre la société elle-même et non contre les autres gérants, singulièrement l’un d’entre eux. Les mesures provisionnelles requises avant litispendance ne sauraient concerner des parties différentes à l’action au fond qui devra être entreprise. Or, la requête de mesures provisionnelles du 11 avril 2024 est bien dirigée contre l’intimé personnellement et non contre la société. Certes, si les appelants font valoir que celui-ci disposerait de la légitimation passive, ils n’exposent toutefois pas le raisonnement qui fonderait une telle appréciation, se contentant de citer des principes généraux relatifs aux art. 821 al. 3 et 823 al. 1 CO. A défaut de motivation, la recevabilité du grief est douteuse. En tous les cas, les principes régissant l’art. 821 al. 3 CO sont clairs et on ne saurait conférer à l’intimé la légitimation passive dans le cadre de l’action en dissolution de la société à responsabilité limitée. L’art. 824 CO et la possibilité d’obtenir des mesures provisionnelles ne sauraient modifier les règles applicables à l’action. Dès lors, même sous cette argumentation juridique nouvelle, la requête déposée ne peut qu’être déclarée irrecevable et les griefs des appelants écartés.</w:t>
      </w:r>
    </w:p>
    <w:p>
      <w:r>
        <w:rPr>
          <w:b/>
        </w:rPr>
        <w:t>E. 5</w:t>
      </w:r>
    </w:p>
    <w:p>
      <w:r>
        <w:t>Dans une argumentation subsidiaire, les appelants considèrent que le premier juge aurait dû reconnaître la légitimation passive de l’intimé dans le cadre d’une action fondée sur l’art. 815 al. 2 CO. Ils se fondent sur une jurisprudence rendue le 28 avril 2020 par le Tribunal de commerce du Canton de Berne (HG 20 24). Ils omettent toutefois que cette décision voyait l’un des gérants agir contre la société à responsabilité limitée elle-même, conformément à la jurisprudence fédérale que le juge expose en précisant que la légitimation passive de la société est également valable lorsqu’il n’y a que deux associés (cf. consid. 7.1 et la référence de l’arrêt TF 4A_693/2015 du 11 juillet 2016 consid.</w:t>
      </w:r>
    </w:p>
    <w:p>
      <w:r>
        <w:t>- 11 - 3.2.2). On ne perçoit dès lors pas ce qu’entendent tirer les appelants de cet arrêt, ce qu’ils n’exposent en outre pas, contrairement à leur obligation de motivation. En tous les cas, au vu de la jurisprudence claire en la matière, rappelée par le premier juge, on ne saurait conférer à l’intimé la légitimation passive dans le cadre d’une action fondée sur l’art. 815 al. 2 CO. Le grief doit donc être également écarté, pour autant que recevable.</w:t>
      </w:r>
    </w:p>
    <w:p>
      <w:r>
        <w:rPr>
          <w:b/>
        </w:rPr>
        <w:t>E. 6.1</w:t>
      </w:r>
    </w:p>
    <w:p>
      <w:r>
        <w:t>En définitive, l’appel doit être rejeté, dans la mesure de sa recevabilité, et l’ordonnance querellée confirmée.</w:t>
      </w:r>
    </w:p>
    <w:p>
      <w:r>
        <w:rPr>
          <w:b/>
        </w:rPr>
        <w:t>E. 6.2</w:t>
      </w:r>
    </w:p>
    <w:p>
      <w:r>
        <w:t>Les frais judiciaires de deuxième instance comprennent l’émolument pour l’ordonnance sur l’effet suspensif de 200 fr. (art. 7 et 60 TFJC [Tarif des frais judiciaires civils du 28 septembre 2010 ; BLV 270.11.5] par analogie) et 800 fr. pour l’émolument du présent arrêt (art. 65 al. 1 TFJC) et seront mis à la charge des appelants, solidairement entre eux, qui succombent (art. 106 al. 1 CPC). Il ne sera pas alloué de dépens, l’intimé n’ayant pas été invité à se déterminer. Par ces motifs, le juge unique de la Cour d’appel civile prononce : I. L’appel est rejeté dans la mesure de sa recevabilité. II. L’ordonnance de mesures provisionnelles est confirmée.</w:t>
      </w:r>
    </w:p>
    <w:p>
      <w:r>
        <w:t>- 12 - III. Les frais judiciaires de deuxième instance, arrêtés à 1’000 fr. (mille francs), sont mis à la charge des appelants N.________ et H.________, solidairement entre eux. IV. Il n’est pas alloué de dépens de deuxième instance. V. L’arrêt est exécutoire. Le juge unique : Le greffier : Du Le présent arrêt, dont la rédaction a été approuvée à huis clos, est notifié en expédition complète à : - Me Gilles Robert-Nicoud (pour N.________ et H.________), - Me Marc Häsler (pour A.________),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