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JP21.042222 vom 7. November 2022</w:t>
      </w:r>
    </w:p>
    <w:p>
      <w:r>
        <w:t>VD Tribunal cantonal, 2022-11-07, FR</w:t>
      </w:r>
    </w:p>
    <w:p>
      <w:r>
        <w:rPr>
          <w:b/>
        </w:rPr>
        <w:t xml:space="preserve">Quelle: </w:t>
      </w:r>
      <w:r>
        <w:t>https://mcp.opencaselaw.ch/entscheid/vd_gerichte_JP21.042222</w:t>
      </w:r>
    </w:p>
    <w:p>
      <w:r>
        <w:t>FR: VD_GERICHTE JP21.042222 du 7 novembre 2022</w:t>
      </w:r>
    </w:p>
    <w:p>
      <w:r>
        <w:t>IT: VD_GERICHTE JP21.042222 del 7 novembre 2022</w:t>
      </w:r>
    </w:p>
    <w:p>
      <w:pPr>
        <w:pStyle w:val="Heading2"/>
      </w:pPr>
      <w:r>
        <w:t>Erwägungen</w:t>
      </w:r>
    </w:p>
    <w:p>
      <w:r>
        <w:rPr>
          <w:b/>
        </w:rPr>
        <w:t>E. 3.1</w:t>
      </w:r>
    </w:p>
    <w:p>
      <w:r>
        <w:t>L'appelante conclut à ce qu'ordre soit donné à la Banque [...] de bloquer et empêcher tout retrait sur le compte IBAN dont l'hoirie C.M.________ est titulaire, sous la menace de l'art. 292 CP, jusqu'à jugement définitif et exécutoire portant sur le partage. S'agissant de la consignation du prix de vente de l'immeuble n°2469, l'appelante explique, en bref, que l'intimé serait responsable des pertes de fonds de l'hoirie, en raison notamment du prêt avec intérêts à 5 % qu'il a octroyé à l'hoirie, qu'il occuperait par l'intermédiaire de ses sociétés l'immeuble n° 886, qu'il aurait également réglé ses dettes personnelles avec le prix de vente de la parcelle n° 2469 et qu'il aurait ainsi soustrait un total de 300'000 fr. du patrimoine de l'hoirie. Elle relève également que l’intimé n'a été désigné représentant que de l'hoirie de C.M.________ et non de celle de D.M.________. L'appelante complète les faits sur divers points. Elle allègue notamment ne jamais s'être désintéressée de la gestion de la succession, que l’intimé n'a jamais été désigné représentant de l'hoirie de D.M.________, qu'il occupe la parcelle n° 886 du Registre foncier de [...] sans payer de loyer, qu'il n'a entrepris aucune démarche pour louer les immeubles propriétés de l'hoirie, que les dettes successorales sont survenues postérieurement au mandat octroyé à l'intimé, que ce dernier a octroyé un prêt à un taux d'intérêt annuel de 5 %, créant un déficit s'élevant à 290'461 fr. en 2020, que l'entier des pertes est par conséquent dû au prêt précité, qu'il a également retiré les loyers perçus, qu'il a utilisé de l'argent de l'hoirie pour ses frais d'avocat, qu'il a également des dettes</w:t>
      </w:r>
    </w:p>
    <w:p>
      <w:r>
        <w:t>- 12 - et qu'il a également perçu à titre personnel 40'000 fr. issu du produit de la vente de l'immeuble.</w:t>
      </w:r>
    </w:p>
    <w:p>
      <w:r>
        <w:rPr>
          <w:b/>
        </w:rPr>
        <w:t>E. 3.2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(Colombini, Code de procédure civile,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w:t>
      </w:r>
    </w:p>
    <w:p>
      <w:r>
        <w:t>- 13 - temporisation du requérant durant plusieurs mois à dater de la connaissance du dommage ou du risque peut signifier qu'une protection n'est pas nécessaire, voire constituer un abus de droit (TF 4P.26312004 du 1er février 2005 consid. 2.2, RSPC 2005 p. 414 ; JdT 2014 III 129 ; Colombini, Code de procédure civile, n. 6.1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Ill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Commentaire romand du Code de procédure civile, Bâle 2019, n. 8 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w:t>
      </w:r>
    </w:p>
    <w:p>
      <w:r>
        <w:t>- 14 - relativement claire, au vu de l'état de fait rendu vraisemblable (ATF 138 III 378 consid. 6.4 et les réf. citées ; ATF 131 III 473 consid. 3.2, JdT 2005 I 305 ; TF 5D_219/2017 du 24 août 2018 consid. 4.2.2).</w:t>
      </w:r>
    </w:p>
    <w:p>
      <w:r>
        <w:rPr>
          <w:b/>
        </w:rPr>
        <w:t>E. 3.3.1</w:t>
      </w:r>
    </w:p>
    <w:p>
      <w:r>
        <w:t>Se référant à la pièce 16, allégué 30, l'appelante explique que B.M.________ a prêté à l'hoirie la somme d'un million quarante-six mille huit cents francs au taux d'intérêt annuel de 5 % servant au remboursement intégral du prêt hypothécaire de la BCF sur l'immeuble n° 886 et que l'entier des pertes de l'hoirie à partir de 2016 est dû à ce prêt. Les faits précités ressortent certes de l’allégué 30 de la demande en partage déposée par B.M.________ le 13 août 2021 produite sous pièce 16 par l’appelante à l’appui de sa requête de mesures provisionnelles. Ils n’ont toutefois pas été directement allégués en première instance et constituent ainsi des faits nouveaux irrecevables en application de l’art. 317 CPC (cf. consid. 2.2. ci-avant), étant précisé que les allégués de fait doivent être précisés dans l'écriture elle-même, le simple renvoi à des pièces étant insuffisant (TF 4A_317/2014 du 17 octobre 2014 consid. 2.2, RSPC 2015 p. 6 ; TF 4A_281/2017 du 22 janvier 2018 consid. 5, RSPC 2018 p. 173). Au surplus, le grief devrait être rejeté pour les motifs exposés par le premier juge ainsi qu'au regard des éléments qui suivent. Dans le cadre de la requête en conciliation, l'intimé a allégué ce qui suit (all. 25 à 31) : « Le requérant et D.M.________ ont notamment été contraints de reprendre seuls les crédits hypothécaires qui grevaient les biens immobiliers de la succession dès lors qu'ils n'étaient pas en mesure de conclure une convention de sûreté avec [...] sans la signature d'A.M.________. Si le requérant et D.M.________ n'avaient pas agi ainsi, le renouvellement des prêts hypothécaires sur une période prolongée (taux fixe) aurait été refusé par [...]. Ils ont toutefois dû accepter de nouvelles conditions nettement moins avantageuses. [...] a alors augmenté jusqu'à 5.25 % le taux d'intérêts appliqué au crédit hypothécaire, soit un taux</w:t>
      </w:r>
    </w:p>
    <w:p>
      <w:r>
        <w:t>- 15 - particulièrement élevé pour l'époque. C'est dans ce contexte et pour pallier l'urgence de la situation que le requérant a procédé d'entente avec D.M.________, à la vente du bien-fonds n° 410 de [...], afin de débloquer les fonds nécessaires à la reprise du fonds hypothécaire grevant l'immeuble n° 886 de [...]. Le requérant a ainsi prêté à l'hoirie de feu C.M.________ la somme de 1'046'800 fr. 90 au taux d'intérêt annuel de 5 %, servant au remboursement intégral, intérêts, frais et amortissement, du prêt hypothécaire de [...] sur l'immeuble n° 886. Cette somme, ainsi que les intérêts à 5 % appliqués devront être pris en compte dans les passifs de la succession de feu C.M.________ et ajoutés à la part revenant au requérant ». En l'espèce, au regard des explications de l'intimé, on ne voit pas en quoi l'opération précitée serait préjudiciable à l'hoirie, compte tenu de la proposition faite par [...], laquelle était plus onéreuse que celle choisie par B.M.________.</w:t>
      </w:r>
    </w:p>
    <w:p>
      <w:r>
        <w:rPr>
          <w:b/>
        </w:rPr>
        <w:t>E. 3.3.2</w:t>
      </w:r>
    </w:p>
    <w:p>
      <w:r>
        <w:t>L'appelante reproche à l'intimé d'avoir dépensé des fonds de l'hoirie pour le paiement des honoraires d'avocat, soit 1'500 fr. en 2016, 9'690 fr. en 2017, 21'800 fr. en 2018, 5'400 fr. en 2019 et 8'366 fr. 65 en 2020. Elle reproche également à l'intimé d'avoir retiré l'ensemble des loyers perçus à hauteur de 30'950 fr. pour l'année 2016 et d'en avoir fait de même pour l'année 2017 et de ne plus avoir perçu de loyers dès 2017 pour le compte de l'hoirie. Ces faits, à savoir le paiement d'honoraires d'avocat ainsi que le retrait des montants des loyers n'ont pas été allégués en première instance. Il s'agit par conséquent de faits nouveaux, lesquels sont irrecevables en application de l'art. 317 CPC (cf. consid. 2.2 ci-avant).</w:t>
      </w:r>
    </w:p>
    <w:p>
      <w:r>
        <w:rPr>
          <w:b/>
        </w:rPr>
        <w:t>E. 3.3.3</w:t>
      </w:r>
    </w:p>
    <w:p>
      <w:r>
        <w:t>Se référant à la pièce n° 116 (bordereau du 2 décembre 2021), l'appelante relève que le prix de vente de l’immeuble no 2469 de la Commune de [...] aurait déjà servi par 40'000 fr. à l'intimé et par 91'827 fr. pour la radiation d'inscriptions relatives à des dettes privées de B.M.________.</w:t>
      </w:r>
    </w:p>
    <w:p>
      <w:r>
        <w:t>- 16 - L'allégué relatif au montant de 91'827 fr. est nouveau et par conséquent irrecevable (cf. consid. 2.2 ci-avant). Au surplus, il résulte de l'ordonnance de mesures provisionnelles du 8 mars 2021 que le montant précité a servi au règlement de dettes d'impôts de la succession M.________ auprès de l'Office des poursuites. Selon la même ordonnance, le montant de 40'000 fr. a été versé sur le compte de la succession M.________. L'appelante n'allègue ni ne démontre d'aucune manière que ce montant aurait servi aux intérêts privés de l'intimé.</w:t>
      </w:r>
    </w:p>
    <w:p>
      <w:r>
        <w:rPr>
          <w:b/>
        </w:rPr>
        <w:t>E. 3.3.4</w:t>
      </w:r>
    </w:p>
    <w:p>
      <w:r>
        <w:t>L'appelante reproche à l'intimé d'avoir logé deux de ses sociétés dans l'immeuble n° 886 de [...]. L'intimé a allégué que la société [...] avait uniquement une boîte aux lettres au chemin [...] et qu'elle n'y disposait pas de bureau ; quant à [...], il ne s'agissait pas d'une société, mais d'une marque commerciale. Dans le cadre de son appel, l'intimé a expliqué qu'il vivait de longue date avec sa famille dans l'immeuble précité. Au regard des éléments du dossier, on ne peut retenir que l'intimé occuperait l'immeuble de l'hoirie sans droit ou contre-prestation, ces faits n'étant pas rendus vraisemblables.</w:t>
      </w:r>
    </w:p>
    <w:p>
      <w:r>
        <w:rPr>
          <w:b/>
        </w:rPr>
        <w:t>E. 3.3.5</w:t>
      </w:r>
    </w:p>
    <w:p>
      <w:r>
        <w:t>L'appelante allègue que B.M.________ fait l'objet de poursuites à hauteur de 79'745 fr. et sa société [...] de poursuites à hauteur de 7'000 fr. L'existence de poursuites est insuffisante pour conclure à une mauvaise gestion par l'intimé.</w:t>
      </w:r>
    </w:p>
    <w:p>
      <w:r>
        <w:rPr>
          <w:b/>
        </w:rPr>
        <w:t>E. 3.4</w:t>
      </w:r>
    </w:p>
    <w:p>
      <w:r>
        <w:t>En conclusion, les griefs doivent être rejetés, dans la mesure de leur recevabilité.</w:t>
      </w:r>
    </w:p>
    <w:p>
      <w:r>
        <w:t>- 17 -</w:t>
      </w:r>
    </w:p>
    <w:p>
      <w:r>
        <w:rPr>
          <w:b/>
        </w:rPr>
        <w:t>E. 4.1</w:t>
      </w:r>
    </w:p>
    <w:p>
      <w:r>
        <w:t>L'appelante requiert également une restriction du droit d'aliéner sur l'immeuble n° 886 de la commune de [...]. Elle explique que l'immeuble n° 2469 a été vendu sans son consentement et qu'il n'est pas exclu que l'intimé procède à la vente du bien n° 886, dès lors notamment qu'il serait perclus de dettes.</w:t>
      </w:r>
    </w:p>
    <w:p>
      <w:r>
        <w:rPr>
          <w:b/>
        </w:rPr>
        <w:t>E. 4.2</w:t>
      </w:r>
    </w:p>
    <w:p>
      <w:r>
        <w:t>Aux termes de l'art. 960 CC (Code civil suisse du 10 décembre 1907 ; RS 210),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Les prétentions visées par l'art. 960 al. 1 ch. 1 CC sont personnelles; elles doivent se rapporter à l'immeuble même qui est en cause et entraîner, quand elles sont reconnues, des effets au registre foncier, à l'exclusion de simples créances pécuniaires (ATF 81 Ill 98 consid. 2, JT 1956 11 16; Steinauer, Les droits réels, tome I, 5e éd. 2012, n. 771a et les réf. citées; Pelet, Réglementation fédérale des mesures provisionnelles et procédure civile cantonale contentieuse, thèse Lausanne 1986, n. 202 ; TF 5P_195/2004 du 23 août 2004 consid. 3.2; Deschenaux, Le registre foncier, Traité de droit privé suisse, vol. V, t. 11/2, pp. 284-285). L'annotation ne peut être opérée qu'en prévision d'une inscription au sens de l'art. 958 CC, d'une annotation définitive ou de la radiation de ces écritures (ATF 104 II 170 consid. 5, JT 1979 I 68; Pelet, op. cit., n. 202). En matière de restriction au droit d'aliéner de l'art. 960 al. 1 ch. 1 CC, il suffit de rendre vraisemblable la possibilité d'une issue favorable de l'action (ATF 100 la 18 consid. 4a, JT 1975 11 80), la doctrine préconisant à cet égard d'appliquer les critères valables pour les inscriptions provisoires de l'art. 961 CC (Deschenaux, op. cit., p. 287, n.</w:t>
      </w:r>
    </w:p>
    <w:p>
      <w:r>
        <w:t>- 18 - 28),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 CCIV 10 février 2010, 37/2010, consid. 11b).</w:t>
      </w:r>
    </w:p>
    <w:p>
      <w:r>
        <w:rPr>
          <w:b/>
        </w:rPr>
        <w:t>E. 4.3</w:t>
      </w:r>
    </w:p>
    <w:p>
      <w:r>
        <w:t>En l’espèce, force est d’admettre que le raisonnement du premier juge à cet égard ne prête pas le flanc à la critique. En effet, il faut rappeler que l’intimé se trouvait dans la nécessité de vendre au plus vite l’immeuble no 2469 afin d’éviter une vente aux enchères inéluctable et moins favorable. On ne pouvait ainsi pas lui reprocher de ne pas avoir obtenu le consentement de l’appelante, qui avait déjà été à l’origine d’un premier échec de la vente du bien aux époux [...] alors que les dettes d’intérêts hypothécaires s’étaient déjà accumulées et dont la requête de mesures provisionnelles déposée ensuite pour s’opposer à la vente du bien aux époux [...] avait été rejetée. Le fait que l’intimé serait endetté ne suffit par ailleurs pas à rendre vraisemblable le besoin d’ordonner des mesures conservations d’urgence, cela d’autant que la vente de l’immeuble no 2469 a pallié au manque de liquidité de la succession.</w:t>
      </w:r>
    </w:p>
    <w:p>
      <w:r>
        <w:rPr>
          <w:b/>
        </w:rPr>
        <w:t>E. 5.1</w:t>
      </w:r>
    </w:p>
    <w:p>
      <w:r>
        <w:t>En conclusion, l'appel doit être rejeté dans la mesure où il est recevable et l’ordonnance attaquée confirmée.</w:t>
      </w:r>
    </w:p>
    <w:p>
      <w:r>
        <w:rPr>
          <w:b/>
        </w:rPr>
        <w:t>E. 5.2</w:t>
      </w:r>
    </w:p>
    <w:p>
      <w:r>
        <w:t>Me Philippe Baudraz, conseil d’office de l’appelante, a droit à une rémunération équitable pour ses opérations et débours dans la procédure d’appel (art. 122 al. 1 let. a CPC). Son 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w:t>
      </w:r>
    </w:p>
    <w:p>
      <w:r>
        <w:t>- 19 - Me Philippe Baudraz a produit, par courrier du 18 août 2022, une liste des opérations faisant état de 13h10 au tarif « avocat » et de 1h00 au tarif « stagiaire » pour la procédure d’appel. Ce décompte peut être admis, de sorte que son indemnité doit être fixée à 2’480 fr. ([13,1666 x 180 fr.] + 110 fr.), auxquels il convient d’ajouter des débours par 49 fr. 60 (2’480 fr. x 2 %, cf. art. 3bis al. 1 RAJ [règlement sur l’assistance judiciaire en matière civile du 7 décembre 2010 ; BLV 211.02.03]), ainsi que la TVA à 7,7% sur l’ensemble, soit 194 fr. 80, pour un total de 2'724 fr. 40 francs.</w:t>
      </w:r>
    </w:p>
    <w:p>
      <w:r>
        <w:rPr>
          <w:b/>
        </w:rPr>
        <w:t>E. 5.3</w:t>
      </w:r>
    </w:p>
    <w:p>
      <w:r>
        <w:t>Les frais judiciaires de deuxième instance, arrêtés à 1’000 fr. (art. 65 al. 2 et 60 TFJC [tarif des frais judiciaires civils du 28 septembre 2010 ; BLV 270.11.5]), seront mis à la charge de l’appelante, qui succombe (art. 106 al. 1 CPC), mais provisoirement laissés à la charge de l’Etat (art. 122 al. 1 let. c CPC).</w:t>
      </w:r>
    </w:p>
    <w:p>
      <w:r>
        <w:rPr>
          <w:b/>
        </w:rPr>
        <w:t>E. 5.4</w:t>
      </w:r>
    </w:p>
    <w:p>
      <w:r>
        <w:t>La bénéficiaire de l’assistance judiciaire est tenue au remboursement des frais judiciaires et de l’indemnité de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5.5</w:t>
      </w:r>
    </w:p>
    <w:p>
      <w:r>
        <w:t>L’assistance judiciaire ne dispense pas du versement de dépens à la partie adverse (art. 118 al. 3 CPC). Vu l’issue du litige, l’appelante, qui succombe, versera à l’intimé de pleins dépens de deuxième instance, qui seront arrêtés à 2’000 fr. (art. 3 al. 2 et 14 al. 2 TDC [tarif des dépens en matière civile du 23 novembre 2010 ; BLV 270.11.6]).</w:t>
      </w:r>
    </w:p>
    <w:p>
      <w:r>
        <w:t>- 20 - Par ces motifs, la juge unique de la Cour d’appel civile prononce : I. L'appel est rejeté dans la mesure où il est recevable. II. L'ordonnance est confirmée. III. Les frais judiciaires de deuxième instance, arrêtés à 1'000 fr. (mille francs), sont mis à la charge de l'appelante, A.M.________, et provisoirement laissés à la charge de l'Etat. IV. L'indemnité allouée à Me Philippe Baudraz, conseil d'office de l'appelante, est arrêtée à 2'724 fr. 40 (deux mille sept cent vingt-quatre francs et quarante centimes), débours et TVA compris. V. L'appelante A.M.________ doit verser à l'intimé B.M.________ la somme de 2'000 fr. (deux mille francs) à titre de dépens de deuxième instance. VI. L'appelante A.M.________ est tenue, dans la mesure de l'art. 123 CPC, au remboursement des frais judiciaires et de l'indemnité de conseil d'office provisoirement laissés à la charge de l'Etat. VII. L'arrêt est exécutoire. La juge unique : La greffière :</w:t>
      </w:r>
    </w:p>
    <w:p>
      <w:r>
        <w:t>- 21 - Du Le présent arrêt, dont la rédaction a été approuvée à huis clos, est notifié en expédition complète à : - A.M.________ - Me François Roux (pour B.M.________) - Me Philippe Baudraz (pour A.M.________),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