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JP21.004914 vom 25. Juni 2021</w:t>
      </w:r>
    </w:p>
    <w:p>
      <w:r>
        <w:t>VD Tribunal cantonal, 2021-06-25, FR</w:t>
      </w:r>
    </w:p>
    <w:p>
      <w:r>
        <w:rPr>
          <w:b/>
        </w:rPr>
        <w:t xml:space="preserve">Quelle: </w:t>
      </w:r>
      <w:r>
        <w:t>https://mcp.opencaselaw.ch/entscheid/vd_gerichte_JP21.004914</w:t>
      </w:r>
    </w:p>
    <w:p>
      <w:r>
        <w:t>FR: VD_GERICHTE JP21.004914 du 25 juin 2021</w:t>
      </w:r>
    </w:p>
    <w:p>
      <w:r>
        <w:t>IT: VD_GERICHTE JP21.004914 del 25 giugno 2021</w:t>
      </w:r>
    </w:p>
    <w:p>
      <w:pPr>
        <w:pStyle w:val="Heading2"/>
      </w:pPr>
      <w:r>
        <w:t>Erwägungen</w:t>
      </w:r>
    </w:p>
    <w:p>
      <w:r>
        <w:rPr>
          <w:b/>
        </w:rPr>
        <w:t>E. 3.1</w:t>
      </w:r>
    </w:p>
    <w:p>
      <w:r>
        <w:t>L’appelante conteste la compétence du premier juge en soutenant que selon l’art. 227 al. 2 CPC, celui-ci aurait dû transmettre la cause à la Cour civile du Tribunal cantonal dans la mesure où la valeur litigieuse, après l’augmentation de ses conclusions dans le cadre de sa requête de mesures superprovisionnelles du 15 février 2021, était de 125'991 fr. s’agissant d’une cause relevant également de la LCD.</w:t>
      </w:r>
    </w:p>
    <w:p>
      <w:r>
        <w:rPr>
          <w:b/>
        </w:rPr>
        <w:t>E. 3.2.1</w:t>
      </w:r>
    </w:p>
    <w:p>
      <w:r>
        <w:t>De manière générale, le tribunal examine d’office si les conditions de recevabilité sont remplies, ce même sans objection sur ce point des parties (TF 4A_229/2017 du 7 décembre 2017 consid. 3.3.2). L’absence d’une condition de recevabilité doit être constatée d’office à tout stade de la procédure, à savoir également devant l’instance d’appel (TF 4A_229/2017 du 7 décembre 2017 consid. 3.2 ; TF 5A_231/2018 du 28 septembre 2018 consid. 3.2).</w:t>
      </w:r>
    </w:p>
    <w:p>
      <w:r>
        <w:t>- 14 - Selon la jurisprudence, l'autorité de recours au sens large doit examiner d'office la compétence matérielle du tribunal de première instance, même en l'absence de grief (TF 4A_77/2018 du 7 mai 2018 consid. 6 ; TF 4A_100/2016 du 13 juillet 2016 consid. 2.1.1 non publié à ATF 142 III 515 ; TF 4A_291/2015 du 3 février 2016 consid. 3.2 ; TF 4A_488/2014 du 20 février 2015 consid. 3.1, non publié à l'ATF 141 III 137). Le CPC ne prévoit pas la transmission d'office de l'acte à l'autorité compétente ; il y a sur ce point un silence qualifié du législateur (CREC 2 juin 2014/188). La sanction de l'incompétence ratione loci et materiae est donc en principe l'irrecevabilité (TF 4A_332/2015 du 10 février 2016 consid. 4.2, RSPC 2016 p. 395 ; cf. déjà CACI 5 septembre 2011/236 ; CACI 7 mai 2013/242).</w:t>
      </w:r>
    </w:p>
    <w:p>
      <w:r>
        <w:rPr>
          <w:b/>
        </w:rPr>
        <w:t>E. 3.2.2</w:t>
      </w:r>
    </w:p>
    <w:p>
      <w:r>
        <w:t>Selon l’art. 96d al. 2 LOJV (loi d’organisation judiciaire du 12 décembre 1979 ; BLV 173.021), le président du tribunal d'arrondissement connaît de toutes les causes patrimoniales dont la valeur litigieuse est comprise entre 10'000 fr. et 30'000 fr. et qui ne sont pas attribuées par la loi à une autre autorité.</w:t>
      </w:r>
    </w:p>
    <w:p>
      <w:r>
        <w:rPr>
          <w:b/>
        </w:rPr>
        <w:t>E. 3.2.3</w:t>
      </w:r>
    </w:p>
    <w:p>
      <w:r>
        <w:t>Selon l'art. 227 al. 1 CPC, la demande peut être modifiée si la prétention nouvelle ou modifiée relève de la même procédure et que l'une des conditions suivantes est remplie : a. la prétention nouvelle ou modifiée présente un lien de connexité avec la dernière prétention ; b. la partie adverse consent à la modification de la demande. Selon l'art. 227 al. 2 CPC, lorsque la valeur litigieuse de la demande modifiée dépasse la compétence matérielle du tribunal, celui-ci la transmet au tribunal compétent.</w:t>
      </w:r>
    </w:p>
    <w:p>
      <w:r>
        <w:rPr>
          <w:b/>
        </w:rPr>
        <w:t>E. 3.3</w:t>
      </w:r>
    </w:p>
    <w:p>
      <w:r>
        <w:t>En l’occurrence, l’appelante conteste la compétence du premier juge depuis le 15 février 2021, lorsque dans le cadre de son addenda à la requête de mesures superprovisionnelles, elle conclut à ce que la cause soit transmise à la Cour civil du Tribunal cantonal eu égard à</w:t>
      </w:r>
    </w:p>
    <w:p>
      <w:r>
        <w:t>- 15 - l’art. 227 al. 2 CPC. Ensuite, par procédé écrit déposé lors de l’audience du</w:t>
      </w:r>
    </w:p>
    <w:p>
      <w:r>
        <w:rPr>
          <w:b/>
        </w:rPr>
        <w:t>E. 4</w:t>
      </w:r>
    </w:p>
    <w:p>
      <w:r>
        <w:t>mars 2021, elle conclut encore à ce que la cause soit transmise à l’autorité supérieure compétente. Avec l’appelante, il convient de considérer que le premier juge n’était pas compétent pour traiter du litige. En effet, la procédure introduite ne relève pas de l’art. 96d al. 2 LOJV, que ce soit en raison de la matière ou en raison de la valeur litigieuse, et le premier juge aurait dû reconnaître son incompétence. L’attitude de l’appelante, qui conteste la compétence du premier juge depuis le début de la procédure sans agir de façon active et en requérant des mesures superprovisionnelles, dont la caractéristique est l’urgence, prête toutefois à confusion. En effet, on ne distingue pas les raisons pour lesquelles cette partie, pourtant dûment représentée par un mandataire professionnel, n’a pas ouvert action devant l’autorité qu’elle estimait compétente. On ne comprend pas pourquoi l’appelante, vu que le CPC ne prévoit pas la transmission d’office de l’acte à l’autorité compétente, se borne à poursuivre une procédure qu’elle estime viciée alors qu’il lui incombe d’introduire ses actes devant la bonne autorité. Par ailleurs, en cas de doute, il lui appartenait de déposer parallèlement plusieurs requêtes devant plusieurs autorités judiciaires. Quant à l’art. 227 al. 2 CPC invoqué par l’appelante, il ne trouve pas application en l’espèce. Premièrement, il s’agit d’une disposition légale applicable dans le cadre d’une modification de la demande en procédure ordinaire. Or, on se trouve au stade de mesures superprovisionnelles, voire provisionnelles, régies par la procédure sommaire, qui peuvent en tout temps être modifiées ou révoquées (cf. art. 268 CPC). Deuxièmement, même à considérer qu’elle serait applicable par analogie à la procédure sommaire, cette disposition concerne la hiérarchie verticale et uniquement dans la mesure où la compétence dépend de la valeur litigieuse, mais pas les tribunaux spéciaux que les cantons peuvent mettre en place en vertu des art. 3, 4 et suivant du CPC (Bohnet, in Commentaire romand du Code de procédure</w:t>
      </w:r>
    </w:p>
    <w:p>
      <w:r>
        <w:t>- 16 - civile, 2e éd., Bâle 2019 [ci-après : CR-CPC], n. 25 ad art. 227 CPC). Or, l’appelante affirme sans détour à l’appui de son argumentation d’appel que la cause relèverait de la compétence de la Cour civile du Tribunal cantonal ; elle n’invoque la compétence d’aucune autre autorité. La Cour civile constitue une autorité spéciale au sens de l’art. 5 CPC et on ne décèle ainsi aucune violation de l’art. 227 al. 2 CPC, au regard des explications qui précèdent. Dès lors, le premier juge, même s’il s’était estimé incompétent, n’aurait pas eu à transmettre le dossier à cette autorité – à supposer qu’elle soit bien compétente – pour trancher le litige. Dès lors, l’ordonnance du 19 mars 2021 doit être confirmée par substitution de motifs, le motif d’irrecevabilité retenu par la juge déléguée de céans étant l’incompétence du Président civil du Tribunal d’arrondissement de La Côte pour statuer sur les requêtes de mesures (super)provisionnelles des 15 février et 4 mars 2021 déposées par Y.________SA. Par surabondance, on relèvera que, dans ses conclusions d’appel, l’appelante ne conclut ni au renvoi devant le premier juge ni devant l’autorité compétente, mais se borne à conclure au fond alors même que – au vu de la configuration du dossier, notamment de la décision d’irrecevabilité entreprise – l’autorité de céans ne serait manifestement pas en mesure de trancher le fond du litige (TF 5A_424/2018 du 3 décembre 2018 consid. 4.2 et 4.3, RSPC 2019 p. 168). Ainsi, aucune conclusion n’est justement tirée d’une hypothétique violation de l’art. 227 al. 2 CPC.</w:t>
      </w:r>
    </w:p>
    <w:p>
      <w:r>
        <w:rPr>
          <w:b/>
        </w:rPr>
        <w:t>E. 4.1</w:t>
      </w:r>
    </w:p>
    <w:p>
      <w:r>
        <w:t>En définitive, l’appel doit être rejeté et l’ordonnance entreprise confirmée par substitution de motifs.</w:t>
      </w:r>
    </w:p>
    <w:p>
      <w:r>
        <w:rPr>
          <w:b/>
        </w:rPr>
        <w:t>E. 4.2</w:t>
      </w:r>
    </w:p>
    <w:p>
      <w:r>
        <w:t>Les frais judiciaires de deuxième instance, arrêtés à 1’000 fr., soit 800 fr. pour l’appel (art. 65 al. 1 TFJC [tarif des frais judiciaires civils du 28 septembre 2010 ; BLV 270.11.5] et 200 fr. pour l’ordonnance d’effet</w:t>
      </w:r>
    </w:p>
    <w:p>
      <w:r>
        <w:t>- 17 - suspensif (art. 7 al. 1 et 30 TFJC), seront mis à la charge de l’appelante, qui succombe (art. 106 al. 1 CPC).</w:t>
      </w:r>
    </w:p>
    <w:p>
      <w:r>
        <w:rPr>
          <w:b/>
        </w:rPr>
        <w:t>E. 4.3</w:t>
      </w:r>
    </w:p>
    <w:p>
      <w:r>
        <w:t>Vu le sort de l’appel, l’intimée a droit à de pleins dépens, qui peuvent être arrêtés à 2'000 fr. (art. 7 TDC [tarif des dépens en matière civile du 23 novembre 2010 ; BLV 270.11.6]). Par ces motifs, la juge déléguée de la Cour d’appel civile prononce : I. L’appel est rejeté. II. L’ordonnance est confirmée. III. Les frais judiciaires de deuxième instance, arrêtés à 1'000 fr. (mille francs), sont mis à la charge de l’appelante Y.________SA. IV. L’appelante Y.________SA doit verser à l’intimée H.________ la somme de 2’000 fr. (deux mille francs) à titre de dépens de deuxième instance. V. L’arrêt est exécutoire. La juge déléguée : La greffière :</w:t>
      </w:r>
    </w:p>
    <w:p>
      <w:r>
        <w:t>- 18 - Du Le présent arrêt, dont la rédaction a été approuvée à huis clos, est notifié en expédition complète à : - Me Thierry F. Ador (pour Y.________SA), - Me Stéphanie Fuld (pour H.________),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