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JP20.008808 vom 29. Oktober 2020</w:t>
      </w:r>
    </w:p>
    <w:p>
      <w:r>
        <w:t>VD Tribunal cantonal, 2020-10-29, FR</w:t>
      </w:r>
    </w:p>
    <w:p>
      <w:r>
        <w:rPr>
          <w:b/>
        </w:rPr>
        <w:t xml:space="preserve">Quelle: </w:t>
      </w:r>
      <w:r>
        <w:t>https://mcp.opencaselaw.ch/entscheid/vd_gerichte_JP20.008808</w:t>
      </w:r>
    </w:p>
    <w:p>
      <w:r>
        <w:t>FR: VD_GERICHTE JP20.008808 du 29 octobre 2020</w:t>
      </w:r>
    </w:p>
    <w:p>
      <w:r>
        <w:t>IT: VD_GERICHTE JP20.008808 del 29 ottobre 2020</w:t>
      </w:r>
    </w:p>
    <w:p>
      <w:pPr>
        <w:pStyle w:val="Heading2"/>
      </w:pPr>
      <w:r>
        <w:t>Erwägungen</w:t>
      </w:r>
    </w:p>
    <w:p>
      <w:r>
        <w:rPr>
          <w:b/>
        </w:rPr>
        <w:t>E. 34</w:t>
      </w:r>
    </w:p>
    <w:p>
      <w:r>
        <w:t>est un arrêt du Tribunal fédéral rendu le 11 avril 2018 qui ne figure pas au dossier de première instance. Cet arrêt n’a pas été produit en appel pour appuyer une thèse juridique, mais pour faire état d'une autre procédure judiciaire concernant l'appelant. On ne saurait dès lors admettre la recevabilité de cette pièce à titre de fait notoire, puisque les intimés entendent en particulier se prévaloir de l'état de fait dudit arrêt, dont la version produite est du reste anonymisée de sorte qu'il n'est pas possible de discerner, à la seule lecture de l'arrêt, si l'affaire en question concerne effectivement l'appelant. La recevabilité de ce titre doit donc être examinée à la lumière de l'art. 317 CPC et des principes rappelés ci- dessus. Dès lors que l'arrêt du 11 avril 2018 a été rendu antérieurement à l'ordonnance entreprise et que les intimés – qui n'expliquent au demeurant pas en quoi ce titre serait recevable selon eux – auraient ainsi pu produire ce document en première instance en faisant preuve de la diligence requise, la pièce 34 est irrecevable. S'agissant de la pièce 35, soit un arrêt du Tribunal fédéral du 19 août 2020, elle est postérieure à l'ordonnance querellée et s'avère ainsi recevable.</w:t>
      </w:r>
    </w:p>
    <w:p>
      <w:r>
        <w:t>- 16 - Il a été tenu compte des titres recevables produits par les parties dans la mesure utile à la résolution du litige. 3. 3.1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(Code civil suisse du 19 décembre 1907, dans sa version en vigueur jusqu'au 31 décembre 2010 ; RS 210) (Message du Conseil fédéral du 28 juin 2006 relatif au code de procédure civile [CPC], FF 2006 6841, spéc.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consid. 4c ; TF 5A_641/2011 du 23 février 2012 consid. 7.1). La sévérité accrue relative à l'octroi de mesures provisionnelles en matière de médias à caractère périodique s'explique par la liberté des médias, garantie par l'art. 17 Cst. (Bohnet, Commentaire romand, Code de procédure civile, 2e éd., Bâle 2019,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du 5 mai 1982 concernant la révision du code civil [Protection de la personnalité : art. 28 CC et 49 CO], FF 1982 II 661, spéc. pp. 690-691). Selon la jurisprudence et la doctrine, les conditions d'octroi de mesures provisionnelles à l'encontre des médias à caractère périodique</w:t>
      </w:r>
    </w:p>
    <w:p>
      <w:r>
        <w:t>- 17 - doivent être appliquées avec une particulière réserve, puisque le but de la directive contenue à l'art. 28c al. 3 aCC est de prévenir la « censure judiciaire » (TF 5A_641/2011 du 23 février 2012 consid. 7.1 et les références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 certitude ; de même, un dommage particulièrement grave ne saurait résulter que d'une preuve plus stricte que l'apparence (TF 5A_956/2018 du 22 avril 2020 consid. 2 ; TF 5A_641/2011 du 23 février 2012 consid. 7.1 ; TF 5A_706/2010 du 20 juin 2011 consid. 4.2.1; ATF 118 II 369 consid. 5 [non publié]). 3.2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Selon la jurisprudence, la mission d'information de la presse ne constitue pas un motif absolu de justification ; il est indispensable dans chaque cas de procéder à une pesée entre l'intérêt de la personne concernée à la protection de sa personnalité et celui de la presse à informer le public (ATF 132 III 641 consid. 3.1 et 5.2 ; ATF 129 III 529 consid. 3.1 ; TF 6B_87/2012 du 27 avril 2012 consid. 1.4.2). L'atteinte à la personnalité ne sera justifiée que dans la mesure où il existe un intérêt public à l'information. La gravité de l'atteinte – plus élevée que celle requise pour les mesures provisionnelles ordinaires – s'interprète à la lumière de la nature de l'atteinte. La seule diffusion d'informations erronées n'est pas encore constitutive d'un préjudice particulièrement grave ; il faut plutôt évaluer l'impact de cette diffusion sur la personnalité du lésé. Ce qui est décisif est l'impression laissée par un média auprès du public. L'ampleur de la diffusion, à savoir le nombre de personnes qui</w:t>
      </w:r>
    </w:p>
    <w:p>
      <w:r>
        <w:t>- 18 - auront connaissance du texte litigieux, joue donc un rôle important dans l'affirmation du caractère grave de l'atteinte (Steinauer/Fountoulakis, Droit des personnes physiques et de la protection de l'adulte, Berne 2014, n. 634a p. 255). Il faut ensuite que la justification de l'atteinte ne semble manifestement pas donnée. Le tribunal doit donc refuser la mesure provisionnelle si l'entreprise de média peut rendre vraisemblable l'existence d'un motif justificatif, qu'il s'agisse du consentement de la victime ou d'un intérêt prépondérant à la diffusion (Steinauer/Fountoulakis, op. cit., n. 634a p. 255).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(ATF 129 Ill 49 consid. 2.2 ; ATF 127 III 481 consid. 2b/aa ; ATF 126 III 209 consid. 3a in fine ; TF 5A_170/2013 du 3 octobre 2013 consid. 3.2 ; TF 5A_60/2008 du 20 juin 2008 consid. 2.2, publié in sic! 1/2009 p. 25). La presse peut atteindre quelqu'un dans sa personnalité de deux manières : d'une part en relatant des faits, d'autre part en les appréciant (ATF 129 III 49 consid. 2.2 ; ATF 126 III 305 consid. 4b et les références cités).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w:t>
      </w:r>
    </w:p>
    <w:p>
      <w:r>
        <w:t>- 19 - ses semblables (ATF 138 III 641 consid. 4.1.2 ; ATF 129 III 49 consid. 2.2 ; ATF 129 Ill 529 consid. 3.1 ; ATF 126 III 305 consid. 4b/aa et les références citées ; TF 5A 267/2017 du 14 décembre 2017 consid. 4.2.1 ; TF 5A_641/2012 du 23 février 2012 consid. 7.2.2.1 ; TF 5A_60/2008 du 26 juin 2008 consid. 2.3.1).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et les références citées ; TF 5A_641/2011 du 23 février 2012 consid. 7.2.2.1).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et les références citées).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(ATF 126 III 305 consid. 4b/aa et la référence citée ; TF 5A_170/2013 du 3 octobre 2013 consid. 3.4.1). Une personne peut être atteinte dans sa personnalité, même si elle n'est pas expressément nommée dans l'article de presse contesté, lorsqu'il ne fait pas de doute que l'article se rapporte à elle (Steinauer/Fountoulakis, op. cit., n. 624c p. 246). Les opinions, commentaires et jugements de valeur sont admissibles pour autant qu'ils apparaissent soutenables en fonction de l'état de fait auquel ils se réfèrent. Ils ne peuvent être soumis à la preuve</w:t>
      </w:r>
    </w:p>
    <w:p>
      <w:r>
        <w:t>- 20 -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(ATF 138 III 641 consid. 4.1.3 et les références citées ; ATF 126 III 305 consid. 4b/bb et les références citées ; TF 5A_267/2017 du 14 décembre 2017 consid. 4.2.1 ; TF 5A_195/2016 du 4 juillet 2016 consid. 5.1). Qualifier des personnes, dans le seul but de faire pression sur elles, d'« escrocs qui mériteraient d'être emprisonnés », de « groupes criminels » ou leur reprocher d'avoir volé plusieurs millions à quelqu'un est inutilement blessant (TF 5A_585/2010 du 15 juin 2011 consid. 7.3). Par contre des allégations comme « escroc », « arnaqueur » ou « filou » sont admissibles dans la mesure où elles sont plausibles sur la base des faits (TF 5A_267/2017 du 14 décembre 2017 consid. 4.2.1 ; TF 4A_481/2007 du 12 février 2008 consid. 3.4). 4. 4.1 L'appelant soutient en premier lieu que l'utilisation, dans le cadre d'un article portant sur une affaire financière et le présentant comme un protagoniste cherchant à se soustraire à de prétendus créanciers, du titre d'un bestseller (« Attrape-moi si tu peux ») relatant les aventures d'un escroc s'employant à échapper aux autorités ne serait pas fortuite et aurait pour but de conduire le lecteur à associer les deux affaires, voire entraînerait un amalgame immédiat chez tout lecteur avec</w:t>
      </w:r>
    </w:p>
    <w:p>
      <w:r>
        <w:t>- 21 - le bestseller en question, qui serait fortement ancré dans la culture populaire. En l'espèce, le titre en cause a été utilisé par diverses publications pour illustrer non seulement le parcours politique d' [...], mais aussi divers sujets dans les domaines du sport, de la santé, de la biologie et de la contestation politico-sociale. Le titre en question dans ces publications évoque le sens littéral du verbe « attraper ». Il en est de même dans l'article litigieux, dont le titre, censé éveiller la curiosité du lecteur, ne crée pas chez le lecteur moyen – au degré de la quasi-certitude requise – un amalgame entre l'appelant et le célèbre escroc Frank Abagnale Jr décrit dans l'œuvre précitée, y compris chez celui qui s'intéresserait, hors abonnement, à F.________, média français de chroniques judiciaires spécialisées dans la criminalité économique, dont il est rappelé qu'il compte un nombre restreint d'abonnés – environ 200 – parmi le public cible ayant accès à la Newsletter, respectivement à l'intégralité des articles publiés sur le site Internet de celui-ci. En effet, la lecture des premières lignes de l'article permet déjà au lecteur moyen de se rendre compte que le titre fait référence aux prétendus créanciers de l'appelant, qui peineraient à obtenir le remboursement de leurs créances, et aux démarches, notamment aux procédures judiciaires, entreprises contre l'intéressé. 4.2 S'agissant encore du titre, l'appelant fait valoir que l'article litigieux émettrait divers jugements de valeur diffamatoires ne reposant sur aucun fondement, en le qualifiant d'« insaisissable », ayant « transformé l'art d'échapper à ses créanciers en discipline olympique » et ayant « toujours une longueur d'avance ». Il soutient que ce faisant, l'article l'accuserait de conduire une véritable entreprise frauduleuse destinée à léser les intérêts de tiers, la similitude avec le synopsis du film « Arrête-moi si tu peux » étant selon lui frappante et ces éléments confirmant l'intention des intimés de créer chez le lecteur une association entre lui-même et le célèbre escroc dont l'histoire est illustrée dans le film en question.</w:t>
      </w:r>
    </w:p>
    <w:p>
      <w:r>
        <w:t>- 22 - Quand bien même les termes précités employés dans l'article litigieux, dont certains (« insaisissable » et « longueur d'avance ») sont au demeurant généraux, évoqueraient le synopsis du film « Arrête-moi si tu peux » tel que relaté sur le site Internet Allociné (cf. P. 24), il n'est pas établi – au degré de la quasi-certitude requis – que le lecteur moyen connaîtrait en particulier les termes dudit synopsis au point de faire, à la lecture des termes critiqués en lien avec le titre de l'article incriminé, un amalgame entre (les créances de) l'appelant et l'escroc du film, voire d'en déduire que l'appelant conduirait une véritable entreprise frauduleuse destinée à léser les intérêts de tiers. Au surplus, le contenu de l'article litigieux doit être examiné compte tenu d'autres critères (cf. infra consid. 5 et 6), à la lumière des éléments de fait retenus. 5. 5.1 L'appelant reproche, « sur le fond », à l'article litigieux d'aller au-delà d'un résumé factuel des arrêts du Tribunal fédéral concernés et de ne pas hésiter à présenter des faits faux. Il en serait ainsi lorsque l'article présente, sans preuve et par pur acharnement, M.________ comme créancière, alors même qu'aucune créance n'aurait jamais été reconnue par la justice et que les articles parus sur cette affaire rejoindraient la position de l'appelant. L'article en cause aurait en outre suscité volontairement la confusion dans l'esprit du lecteur en associant mensongèrement la créance – qui serait inexistante – de M.________ aux arrêts rendus par la Haute Cour en matière de séquestre. Le terme « interpellation » choisi par l'article aurait pour but de conduire le lecteur à penser qu'il s'agissait d'une démarche légitime des autorités, alors qu'il ressortirait de l'ensemble des articles produits par les intimés que les investigations judiciaires menées à ce jour tendraient à confirmer l'illicéité des agissements de M.________ dans ce cadre. Selon l'appelant, l'unique déclaration de son conseil serait tournée en dérision dans le but de décrédibiliser sa position, l'article litigieux allant ainsi jusqu'à mettre en cause la probité de celui-ci en violation des règles déontologiques.</w:t>
      </w:r>
    </w:p>
    <w:p>
      <w:r>
        <w:t>- 23 - 5.2 En l'espèce, l'article du journal « [...] » du 23 janvier 2017, intitulé « M.________ mise en cause dans une affaire de racket », affirme notamment que M.________ avait perdu au début des années 2000 plusieurs dizaines de millions d'euros dans des placements effectués par une société dont l'appelant était ensuite devenu le propriétaire à la fin de l'année 2002. Une procédure avait été ouverte en 2016 devant le tribunal de commerce de Paris, qui avait débouté les actionnaires représentants M.________ en octobre 2016. Une enquête pénale visant les mêmes faits, conduite par une juge parisienne, avait entraîné la mise en examen pour « banqueroute » de l'appelant à la fin de l'année 2016. L'article du quotidien « [...] » du 23 janvier 2017, intitulé « O.________ accuse M.________ de tentative de racket », a un contenu identique. L'article de « [...] » du 11 octobre 2018, mis à jour le 9 novembre 2018, intitulé « M.________ "spoliée" et toujours pas vengée », affirme notamment qu'en novembre 2002, l'appelant avait repris le groupe de sociétés qui avaient été chargées de porter l'argent investi par M.________ et que, dès 2003, la part de M.________ dans le capital du groupe se retrouvait petit à petit diluée, et que les représentants de M.________ avaient omis de déclarer leur créance auprès du mandataire-liquidateur à temps. Dans son droit de réponse à cet article, l'appelant a notamment exposé que la dilution de M.________ résultait mécaniquement de ses apports et que celle-ci était seule responsable des mauvais choix d'investissement opérés. L'article de « [...] » du 2 février 2017, intitulé « O.________ et le "blé" de M.________ », affirme notamment que les créanciers de l'appelant ont peur et que M.________ et Z.________ souhaitent récupérer la totalité de leurs créances. L'article du journal « [...] » du 21 octobre 2016, intitulé « M.________ ne récupèrent pas leur magot », relate des faits concernant la procédure d'actionnaires minoritaires, dont certains représentaient M.________, contre l'appelant, jugée hors délai, et la procédure pénale pour banqueroute de l'appelant toujours en cours. Cette dernière procédure fait également l'objet de l'article du journal « [...] » du 19 novembre 2016, intitulé « O.________ poursuivi pour banqueroute ».</w:t>
      </w:r>
    </w:p>
    <w:p>
      <w:r>
        <w:t>- 24 - Dans la mesure où l'ensemble des articles précités relatifs à l'affaire opposant l'appelant à M.________ laisse entendre que le premier serait le débiteur de sommes importantes de la seconde, on ne saurait qualifier les passages de l'article litigieux consacrés à cet aspect d'acharnement mensonger. Quant au terme « interpellation » employé dans l'article en cause dans le contexte de l'aéroport de [...], son acception selon le dictionnaire Larousse (cf. https://www.larousse.fr/dictionnaires/francais/interpellation) d'« action de poser des questions à quelqu'un au cours d'un contrôle de police ou d'un interrogatoire » ne permet pas de retenir une description manquant d'objectivité, compte tenu notamment du déroulement des faits relatés à ce sujet – par l'appelant lui-même – dans les autres articles de presse. En outre, il suffit de parcourir l'article litigieux pour se rendre compte, sans aucune confusion possible, que les arrêts du Tribunal fédéral en question ne visaient pas M.________ mais bien la société P.________ SA. S'agissant du commentaire de l'article sur les frais d'avocat de l'appelant qui dépasseraient le montant de la créance de Z.________ selon le conseil de ce dernier (« A ce tarif en effet, rien n'est impossible »), il est acceptable, quand bien même il serait caustique (cf. supra consid. 3.2), dans le contexte de l'article, qui relate ensuite que l'avocat de l'appelant – auquel la parole a été donnée – a dénié l'information tirée par le conseil de Z.________ du registre du commerce [...] sur l'implication de l'appelant dans la société P.________ SA. Aussi, on ne saurait y voir un manquement aux règles déontologiques, dès lors que le jugement de valeur n'a pas rompu le cadre de ce qui était admis et n'a pas laissé entendre un état de fait qui ne correspondait pas à la réalité au degré de la quasi-certitude requis. En résumé, aucune atteinte illicite à l'endroit de l'appelant ne peut être retenue dans le titre et le corps de l'article. 6. 6.1 L'appelant conteste encore sa notoriété, soit sa qualité de personnalité publique telle que retenue par le premier juge, en invoquant</w:t>
      </w:r>
    </w:p>
    <w:p>
      <w:r>
        <w:t>- 25 - le principe de la proportionnalité. Il soutient que les articles de presse produits par les intimés concerneraient essentiellement une seule et même affaire, à savoir la tentative de contrainte exercée par M.________ qui remonterait à 2016 et qui ne suffirait pas à lui conférer le statut de personnalité publique, ni ne justifierait d'informer le public de faits relevant d'un litige de nature purement privée. 6.2 II ressort de l'état de fait (cf. supra let. C ch. 1a) que l'appelant, homme d'affaires [...] fortuné, manifestement présent sur Internet selon les recherches Google ou le site Internet Wikipédia, qui mentionnent les affaires judiciaires le concernant, dont celle l'opposant à M.________, est une personnalité de l'actualité contemporaine relativement connue, c'est-à-dire une personnalité qui fait l'objet d'un intérêt public (cf. supra consid. 3.2). L'appelant a lui-même relaté, et a ainsi contribué à médiatiser, l'affaire l'opposant à M.________ dans la presse française, laquelle a été également relayée en Suisse romande en 2017. Par ailleurs, contrairement à ce qu'il soutient, cette affaire apparaît comme ayant été à l'origine de démarches, voire de procédures de recouvrement de créanciers en France et en Suisse, qui sont toujours d'actualité ; cela découle notamment de l'état de fait de l'arrêt du Tribunal fédéral du 19 août 2020 produit en appel par les intimés, qui se réfère explicitement à des décisions françaises de 2009 et 2013 qui concernent Z.________ (cf. supra let. C ch. 5). Il s'ensuit que l'intérêt du public – singulièrement le public cible de F.________ qui compte aussi des investisseurs parmi les abonnés ayant accès à l'intégralité des articles de son site Internet – à connaître les démarches et les procédures judiciaires opposant l'appelant à ses créanciers est prépondérant. Dans ce contexte, l'article litigieux ne porte aucune atteinte illicite à la personnalité de l'appelant. Compte tenu des développements qui précèdent, l'ordonnance querellée n'a pas non plus violé l'art. 266 CPC, en particulier le principe de la proportionnalité, en rejetant la requête de l'appelant qui ne satisfaisait pas aux conditions cumulatives prévues par cette disposition.</w:t>
      </w:r>
    </w:p>
    <w:p>
      <w:r>
        <w:t>- 26 - 7. 7.1 En définitive, l'appel doit être rejeté et l'ordonnance confirmée. 7.2 Vu l'issue de l'appel, les frais judiciaires de deuxième instance, arrêtés à 1'500 fr. (art. 65 al. 3 TFJC [Tarif des frais judiciaires civils du 28 septembre 2010 ; BLV 270.11.5]), seront mis à la charge de l'appelant (art. 106 al. 1 CPC). L'appelant devra en outre verser aux intimés, créanciers solidaires, de pleins dépens de deuxième instance, évalués à 2'000 fr. (art. 3 al. 4 et 9 al. 2 TDC [Tarif des dépens en matière civile du 23 novembre 2010 ; BLV 270.11.6]). Par ces motifs, la Juge déléguée de la Cour d’appel civile prononce : I. L’appel est rejeté. II. L’ordonnance est confirmée. III. Les frais judiciaires de deuxième instance, arrêtés à 1'500 fr. (mille cinq cents francs), sont mis à la charge de l’appelant O.________. IV. L’appelant O.________ doit verser aux intimés N.________ Sàrl, H.________ et W.________, créanciers solidaires, la somme de 2'000 fr. (deux mille francs) à titre de dépens de deuxième instance. V. L’arrêt est exécutoire.</w:t>
      </w:r>
    </w:p>
    <w:p>
      <w:r>
        <w:t>- 27 - La juge déléguée : Le greffier : Du Le présent arrêt, dont la rédaction a été approuvée à huis clos, est notifié en expédition complète à : - Me Romain Jordan (pour O.________), - Me Nicolas Capt (pour N.________ Sàrl, H.________ et W.________),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