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JP19.010597 vom 10. Januar 2020</w:t>
      </w:r>
    </w:p>
    <w:p>
      <w:r>
        <w:t>VD Tribunal cantonal, 2020-01-10, FR</w:t>
      </w:r>
    </w:p>
    <w:p>
      <w:r>
        <w:rPr>
          <w:b/>
        </w:rPr>
        <w:t xml:space="preserve">Quelle: </w:t>
      </w:r>
      <w:r>
        <w:t>https://mcp.opencaselaw.ch/entscheid/vd_gerichte_JP19.010597</w:t>
      </w:r>
    </w:p>
    <w:p>
      <w:r>
        <w:t>FR: VD_GERICHTE JP19.010597 du 10 janvier 2020</w:t>
      </w:r>
    </w:p>
    <w:p>
      <w:r>
        <w:t>IT: VD_GERICHTE JP19.010597 del 10 gennaio 2020</w:t>
      </w:r>
    </w:p>
    <w:p>
      <w:pPr>
        <w:pStyle w:val="Heading2"/>
      </w:pPr>
      <w:r>
        <w:t>Erwägungen</w:t>
      </w:r>
    </w:p>
    <w:p>
      <w:r>
        <w:rPr>
          <w:b/>
        </w:rPr>
        <w:t>E. 3.1</w:t>
      </w:r>
    </w:p>
    <w:p>
      <w:r>
        <w:t>L'appelante reproche uniquement à l'autorité précédente de ne lui avoir transmis qu'avec l'ordonnance attaquée les pièces que l'intimé avait déposées lors de l'audience du 20 mai 2019. Elle y voit une violation de son droit d'être entendue.</w:t>
      </w:r>
    </w:p>
    <w:p>
      <w:r>
        <w:rPr>
          <w:b/>
        </w:rPr>
        <w:t>E. 3.2</w:t>
      </w:r>
    </w:p>
    <w:p>
      <w:r>
        <w:t>Le droit d'être entendu, garanti par les art. 6 CEDH (Convention de sauvegarde des droits de l'homme et des libertés fondamentales du 4 novembre 1950 ; RS 0.101) et 29 al. 2 Cst. (Constitution fédérale de la Confédération suisse du 18 avril 1999 ; RS 101), comprend notamment le droit, pour l'intéressé, de prendre connaissance du dossier et de s'exprimer sur les éléments pertinents avant qu'une décision soit prise touchant sa situation juridique (ATF 129 II 497 consid. 2.2 ; ATF 127 III 576 consid. 2c). L'art. 6 CEDH, également invoqué par</w:t>
      </w:r>
    </w:p>
    <w:p>
      <w:r>
        <w:t>- 8 - l'appelante, n'offre pas de protection plus étendue que celle garantie par l'art. 29 al. 2 Cst. (ATF 130 I 312 consid. 5.1 et les références citées).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p. 204 ; ATF 129 I 129 consid. 2.2.3 p. 135 ; ATF 127 V 431 consid. 3d/aa p. 437). Le droit d'être entendu n'est de plus pas une fin en soi. Ainsi lorsqu'on ne voit pas quelle influence la violation du droit d'être entendu a pu avoir sur la procédure, il n'y a pas lieu d'annuler la décision attaquée (TF 5A_715/2018 du 21 mai 2019 consid. 4.2 ; TF 4A_141/2016 du 26 mai 2016 consid. 1.2 ; TF 5A_967/2018 du 28 janvier 2019 consid. 3.1.2).</w:t>
      </w:r>
    </w:p>
    <w:p>
      <w:r>
        <w:rPr>
          <w:b/>
        </w:rPr>
        <w:t>E. 3.3</w:t>
      </w:r>
    </w:p>
    <w:p>
      <w:r>
        <w:t>En l'espèce, l'appelante admet avoir reçu les documents litigieux avec la décision attaquée. Elle aurait donc pu librement prendre position sur ceux-ci devant la Cour de céans, qui dispose d'un pouvoir d'examen identique à celui de l'autorité de première instance. Dans ces conditions, il convient de considérer que le vice invoqué aurait pu être réparé, si l'appelante avait fait part de ses déterminations ou demander de pouvoir le faire devant l'instance de céans, ce qu’elle n’a pas fait. L'ordonnance entreprise n'a partant pas à être annulée pour ce motif déjà. Au demeurant, il résulte de la lecture des pièces litigieuses que celles-ci sont anciennes et étaient toutes connues de l'appelante avant l'ouverture de la présente procédure, soit parce qu'il s'agit d'écritures ou de décisions produites dans des procédures auxquelles elle ou son président était partie, soit parce qu'elle ou son président en était l'auteur. L'appelante a échoué à de multiples égards à démontrer la</w:t>
      </w:r>
    </w:p>
    <w:p>
      <w:r>
        <w:t>- 9 - vraisemblance des faits qu'elle alléguait à l'appui de sa requête de mesures provisionnelles, faits pour lesquels elle supportait le fardeau de la vraisemblance. Elle ne dit aucunement en quoi des déterminations sur les pièces litigieuses, qu'elle connaissait et qu'elle aurait donc pu produire si elles avaient été d'une quelconque utilité pour elle, seraient propres à modifier le sort de la décision prise. La Juge de céans ne le discerne aucunement. Il faut ainsi craindre que le grief soulevé ne le soit qu'afin de prolonger la procédure de manière inutile. Cela justifie encore le rejet du grief de violation du droit d'être entendu soulevé.</w:t>
      </w:r>
    </w:p>
    <w:p>
      <w:r>
        <w:rPr>
          <w:b/>
        </w:rPr>
        <w:t>E. 4</w:t>
      </w:r>
    </w:p>
    <w:p>
      <w:r>
        <w:t>Au vu de ce qui précède, l'appel, manifestement infondé, doit être rejeté (art. 312 al. 1 CPC) et l'ordonnance querellée confirmée. Les frais judiciaires de deuxième instance, arrêtés à 800 fr. (art. 65 al. 1 TFJC [tarif des frais judiciaires civils du 28 septembre 2010 ; BLV 270.11.5]), sont mis à la charge de l'appelante qui succombe. Il n'y a pas lieu d'allouer des dépens de deuxième instance aux intimés, ceux-ci n’ayant pas été invités à se déterminer. Par ces motifs, la juge déléguée de la Cour d’appel civile prononce : I. L’appel est rejeté. II. L’ordonnance est confirmée. III. Les frais judiciaires de deuxième instance, arrêtés à 800 fr. (huit cents francs), sont mis à la charge de l’appelante.</w:t>
      </w:r>
    </w:p>
    <w:p>
      <w:r>
        <w:t>- 10 - IV. Il n’est pas alloué de dépens de deuxième instance. V. L’arrêt est exécutoire. La juge déléguée : Le greffier : Du Le présent arrêt, dont la rédaction a été approuvée à huis clos, est notifié en expédition complète à : - Me Nicolas Rouiller (pour J.________), - Me Marine Valticos (pour V.________), - Me Alain Vogel (pour E.________),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