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JP16.043989 vom 6. Januar 2017</w:t>
      </w:r>
    </w:p>
    <w:p>
      <w:r>
        <w:t>VD Tribunal cantonal, 2017-01-06, FR</w:t>
      </w:r>
    </w:p>
    <w:p>
      <w:r>
        <w:rPr>
          <w:b/>
        </w:rPr>
        <w:t xml:space="preserve">Quelle: </w:t>
      </w:r>
      <w:r>
        <w:t>https://mcp.opencaselaw.ch/entscheid/vd_gerichte_JP16.043989</w:t>
      </w:r>
    </w:p>
    <w:p>
      <w:r>
        <w:t>FR: VD_GERICHTE JP16.043989 du 6 janvier 2017</w:t>
      </w:r>
    </w:p>
    <w:p>
      <w:r>
        <w:t>IT: VD_GERICHTE JP16.043989 del 6 gennaio 2017</w:t>
      </w:r>
    </w:p>
    <w:p>
      <w:pPr>
        <w:pStyle w:val="Heading2"/>
      </w:pPr>
      <w:r>
        <w:t>Erwägungen</w:t>
      </w:r>
    </w:p>
    <w:p>
      <w:r>
        <w:rPr>
          <w:b/>
        </w:rPr>
        <w:t>E. 3.1</w:t>
      </w:r>
    </w:p>
    <w:p>
      <w:r>
        <w:t>En l’espèce, est litigieuse la question de savoir si le comportement de l’intimé constitue une atteinte à la personnalité de l’appelant au sens de l’art. 28 CC, plus précisément s’il peut être qualifié de violences ou de menaces au sens de l’art. 28b al. 1 CC, justifiant d’ordonner l’interdiction de périmètre sollicitée par voie de mesures provisionnelles.</w:t>
      </w:r>
    </w:p>
    <w:p>
      <w:r>
        <w:t>- 11 -</w:t>
      </w:r>
    </w:p>
    <w:p>
      <w:r>
        <w:rPr>
          <w:b/>
        </w:rPr>
        <w:t>E. 3.2.1</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2e éd., Berne 2010, n. 1758, p. 322). Dans le cadre des mesures provisionnelles, le juge peut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op. cit.,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w:t>
      </w:r>
    </w:p>
    <w:p>
      <w:r>
        <w:rPr>
          <w:b/>
        </w:rPr>
        <w:t>E. 3.2.2</w:t>
      </w:r>
    </w:p>
    <w:p>
      <w:r>
        <w:t>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w:t>
      </w:r>
    </w:p>
    <w:p>
      <w:r>
        <w:t>- 12 - telle action peut, en vertu de l'art. 28c al. 1 CC, requérir des mesures provisionnelles s'il rend vraisemblable qu'il est l'objet d'une atteinte illicite à sa personnalité, que cette atteinte est imminente ou actuelle et qu'elle risque de lui causer un préjudice difficilement réparable.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Il peut s’agir d’un fait (par exemple frapper quelqu’un, divulguer un fait), d’une omission (par exemple un refus d’informer), d’un acte isolé (par exemple révéler un secret) ou d’un état de fait qui se prolonge (par exemple exposer une photo). Il émane d’une personne et porte atteinte à la personnalité d’un autre sujet : il faut un auteur et une victime. En outre,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CC I, Bâle 2010, nn. 67ss ad art. 28 CC et les références citées).</w:t>
      </w:r>
    </w:p>
    <w:p>
      <w:r>
        <w:rPr>
          <w:b/>
        </w:rPr>
        <w:t>E. 3.2.3</w:t>
      </w:r>
    </w:p>
    <w:p>
      <w:r>
        <w:t>En dehors des mesures générales que le demandeur peut requérir en cas d'atteinte illicite à la personnalité (art. 28a CC : actions en interdiction, en cessation et en constatation du trouble), le législateur a prévu à l'art. 28b CC des mesures spécifiques à disposition des victimes de violence. Ainsi, en cas de violence, de menaces ou de harcèlement, le demandeur peut requérir le juge d'interdire à l'auteur de l'atteinte, en particulier, de l'approcher ou d'accéder à un périmètre déterminé autour de son logement (art. 28b ch. 1 CC), de fréquenter certains lieux, notamment des rues, places ou quartiers (ch. 2), de prendre contact avec</w:t>
      </w:r>
    </w:p>
    <w:p>
      <w:r>
        <w:t>- 13 - lui, notamment par téléphone, par écrit ou par voie électronique, ou de lui causer d'autres dérangements (ch. 3). 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(Jeandin/Peyrot, Commentaire romand, CC I, op. cit., n. 3 ad art. 28b CC et les références citées). Selon la jurisprudence du Tribunal fédéral (TF 5A_526/2009 du</w:t>
      </w:r>
    </w:p>
    <w:p>
      <w:r>
        <w:rPr>
          <w:b/>
        </w:rPr>
        <w:t>E. 5</w:t>
      </w:r>
    </w:p>
    <w:p>
      <w:r>
        <w:t>Au vu de ce qui précède, l’appel doit être rejeté selon le mode procédural de l’art. 312 al. 1 CPC et l’ordonnance entreprise confirmée. Dès lors que l’appel était d’emblée dépourvu de chances de succès, la demande d’assistance judiciaire présentée par l’appelant doit être rejetée (art. 117 let. b CPC ; cf. CACI 5 septembre 2014/450 consid. 5). L’appelant qui succombe (art. 106 al. 1 CPC) supportera les frais judiciaires de</w:t>
      </w:r>
    </w:p>
    <w:p>
      <w:r>
        <w:t>- 17 - deuxième instance, arrêtés à 800 fr. (art. 65 al. 1 TFJC [tarif des frais judiciaires civils du 28 septembre 2010 ; RSV 270.11.5]). L’intimé n’ayant pas été invité à se déterminer, il n’y a pas lieu à l’allocation de dépens et sa requête d’assistance judiciaire est sans objet. Par ces motifs, la juge déléguée de la Cour d’appel civile prononce : I. L’appel est rejeté. II. L’ordonnance est confirmée. III. La requête d’assistance judiciaire déposée par l’appelant J.________ est rejetée. IV. La requête d’assistance judiciaire déposée par l’intimé A.________ est sans objet. V. Les frais judiciaires de deuxième instance, arrêtés à 800 fr. (huit cents francs), sont mis à la charge de l’appelant J.________. VI. L’arrêt est exécutoire.</w:t>
      </w:r>
    </w:p>
    <w:p>
      <w:r>
        <w:t>- 18 - La juge déléguée : Le greffier : Du Le présent arrêt, dont la rédaction a été approuvée à huis clos, est notifié en expédition complète à : - Me Stephen Gintzburger (pour J.________) - Me Bernard Nuzzo (pour A.________)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