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JP15.034394 vom 24. November 2016</w:t>
      </w:r>
    </w:p>
    <w:p>
      <w:r>
        <w:t>VD Tribunal cantonal, 2016-11-24, FR</w:t>
      </w:r>
    </w:p>
    <w:p>
      <w:r>
        <w:rPr>
          <w:b/>
        </w:rPr>
        <w:t xml:space="preserve">Quelle: </w:t>
      </w:r>
      <w:r>
        <w:t>https://mcp.opencaselaw.ch/entscheid/vd_gerichte_JP15.034394</w:t>
      </w:r>
    </w:p>
    <w:p>
      <w:r>
        <w:t>FR: VD_GERICHTE JP15.034394 du 24 novembre 2016</w:t>
      </w:r>
    </w:p>
    <w:p>
      <w:r>
        <w:t>IT: VD_GERICHTE JP15.034394 del 24 novembre 2016</w:t>
      </w:r>
    </w:p>
    <w:p>
      <w:pPr>
        <w:pStyle w:val="Heading2"/>
      </w:pPr>
      <w:r>
        <w:t>Erwägungen</w:t>
      </w:r>
    </w:p>
    <w:p>
      <w:r>
        <w:rPr>
          <w:b/>
        </w:rPr>
        <w:t>E. 24</w:t>
      </w:r>
    </w:p>
    <w:p>
      <w:r>
        <w:t>à 27), elles aussi recevables. Quant au prononcé rendu par la Présidente du Tribunal civil de l’arrondissement de l’Est vaudois prenant acte du désistement de l’action en consultation de documents déposée par l’intimé (pièce 23), il est daté du 15 octobre 2014. L’appelante n’expliquant pas pourquoi le prononcé n’aurait pas pu être produit en première instance, cette pièce est irrecevable. S’agissant des pièces produites par les intimés, les courriers émanant de la société [...], datés du 23 mars et 10 octobre 2016 (pièce 1 et pièce produite à la reprise d’audience d’appel du 24 novembre 2016), sont postérieurs à la clôture de l’instruction de première instance intervenue le 15 octobre 2015. Produits sans retard, ils sont recevables. Il en va de même de l’extrait des registres de l’Office des poursuites relatif à l’intimée daté du 21 mars 2016. Quant à l’attestation de l’inscription d’une créance de 1'100'000 fr. en faveur de l’intimé au passif du bilan de l’appelante, datée du 17 juillet 2015 (pièce produite lors de la reprise d’audience d’appel), elle figure déjà au dossier, de sorte qu’elle est recevable.</w:t>
      </w:r>
    </w:p>
    <w:p>
      <w:r>
        <w:t>- 12 - 3. 3.1 L’appelante reproche au premier juge d’avoir nié qu’une prétention dont elle serait titulaire ferait l’objet d’une atteinte. En sa qualité de propriétaire de la parcelle n° [...] de la Commune d’ [...], elle serait habilitée à se prévaloir de l’art. 641 al. 2 CC pour mettre fin à la possession illégitime exercée par les intimés. A cet égard, le fait que l’intimé ait investi des fonds dans l’appelante ne serait pas pertinent. La convention du 30 juin 2014, conclue avec A.________ et non avec elle- même, serait nulle car elle ne respecterait pas la forme authentique prescrite pour la vente immobilière. Elle le serait également sous l’angle de l’art. 22 al. 2 CO, cette disposition prévoyant que la promesse de contracter est soumise à la même forme que le contrat final. La convention étant nulle dans son ensemble, son volet conditionnel serait lui aussi frappé de nullité et il n’y aurait aucune place pour une validité partielle. Les intimés, dépourvus de tout titre justifiant le transfert de la propriété ou de la possession, ne seraient pas des possesseurs de bonne foi. Même à considérer le volet conditionnel de la convention du 30 juin 2014 comme valable, les intimés n’auraient jamais demandé son exécution, en requérant la signature d’un contrat. Ils se seraient contentés d’exploiter le L.________ à leur profit, sans rien reverser à l’appelante. De plus, les intimés auraient fait en sorte que la division de la parcelle prévue par le volet principal de convention du 30 juin 2014 n’aboutisse pas, puisqu’ils n’auraient entrepris aucune démarche en vue d’obtenir une reprise de la dette hypothécaire. Bien plus, ils auraient signé la convention précitée en sachant que leur situation financière ne leur permettrait jamais d’obtenir un financement. L’appelante, pour sa part, aurait rempli ses obligations, à savoir obtenir la division de la parcelle. L’appelante expose encore qu’elle aurait dénoncé la convention du 30 juin 2014 pour erreur, dol et lésion. Les intimés soutiennent pour leur part que l’appelante serait engagée par la convention du 30 juin 2014 car A.________ l’aurait signée en sa qualité d’administrateur. Cette convention ne constituerait pas l’acte de vente lui-même, mais un précontrat, qui ne nécessiterait pas la forme authentique. De plus, les parties auraient réglé au ch. 2.4 de la convention</w:t>
      </w:r>
    </w:p>
    <w:p>
      <w:r>
        <w:t>- 13 - les conséquences d’une non-mise en œuvre de son volet principal : en plus du remboursement de 300'000 fr. à Q.________ (let. a) et du versement, après compensation, d’un montant de 100'000 fr. dû par A.________ en faveur de Q.________ (let. c), il aurait été prévu que le L.________ soit géré par l’intimée D.________ Sàrl, les bénéfices étant répartis à raison de 50 % pour chaque partie et un contrat étant établi avec l’appelante pour une durée minimale de vingt ans (let. b). En l’occurrence, c’est ce cas de figure qui trouverait application, étant entendu que le volet conditionnel de la convention du 30 juin 2014 ne constituerait pas la contreprestation due pour la vente de l’immeuble, mais bien une alternative autonome, pour le cas où la vente ne venait pas à chef. Dès lors, les intimés estiment disposer d’un titre à la possession. Ils auraient entrepris des démarches auprès de plusieurs établissements bancaires en vue obtenir la reprise de la dette hypothécaire, mais l’appelante, en refusant de fournir les comptes demandés, aurait fait échec à ces efforts. S’agissant du volet conditionnel de la convention, une convention d’exploitation aurait été passée par les parties le 30 juin 2014 également, de sorte qu’il n’aurait pas été nécessaire signer un nouveau contrat. Quoi qu’il en soit, l’appelante n’aurait elle non plus jamais approché les intimés dans ce but. De plus, l’appelante ne respecterait pas la clause de non-concurrence prévue dans la convention d’exécution, de sorte qu’elle serait malvenue de se prévaloir de la prétendue mauvaise foi des intimés. 3.2 Aux termes de l’art. 641 al. 2 CC, le propriétaire d’une chose peut la revendiquer contre quiconque la détient sans droit et repousser toute usurpation. La première hypothèse de cette disposition consacre l’action en revendication, qui a pour objet la restitution d’une chose dont le propriétaire a été entièrement dépossédé. Dans le cadre de cette action, la restitution de la chose peut être obtenue par voie de mesures provisionnelles, aux conditions des art. 261 ss CPC (Bohnet, Actions civiles, 2014, § 39 n. 17 et réf.). Le demandeur à l’action en revendication doit établir qu’il est propriétaire du bien revendiqué (Steinauer, Les droits réels, tome I, 5e éd.,</w:t>
      </w:r>
    </w:p>
    <w:p>
      <w:r>
        <w:t>- 14 - 2012, p. 362 n. 1021 : le demandeur doit pouvoir faire état d’un mode d’acquisition originaire de la propriété ; à défaut, il doit établir le droit de propriété de celui dont il tient son droit à titre dérivé, preuve qualifiée de probatio diabolica). Il doit également établir que la possession exercée par le défendeur est illégitime. Quant au défendeur, il peut opposer au demandeur le fait qu’il possède légitimement le bien revendiqué, en vertu d’un droit réel ou d’un droit personnel (Bohnet, op cit., § 39 n. 39 ; Steinauer, op cit., p. 363 n. 1022). 3.3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2011, n. 4 ad art. 261 CPC et les références citées).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préjudice envisagé doit être objectivement vraisemblable (FF 2006 p. 6961). Le risque de préjudice invoqué peut concerner tout préjudice, patrimonial ou immatériel, et peut même résulter du seul écoulement du temps pendant le procès (ATF 138 III 378 consid. 6.3). Le risque est avéré</w:t>
      </w:r>
    </w:p>
    <w:p>
      <w:r>
        <w:t>- 15 - même si le dommage peut être réparé en argent, même s'il est difficile à évaluer ou à démontrer ou qu'il y a des difficultés d'exécution de la décision (FF 2006 p. 6961 ; Bohnet, op. cit., n. 11 ad art. 261 CPC). Est difficilement réparable le préjudice qui sera plus tard impossible ou difficile à mesurer ou à compenser entièrement (TF 4A_611/2011 du 3 janvier 2012 consid. 4.1). Quant à la notion d'urgence temporelle, elle comporte des degrés et s'apprécie en fonction de la nature de l'affaire et au regard des circonstances.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Procédure civile, tome II, 2e éd., 2010, nn. 1758 ss ; CCIV 73/2013/DCA du 26 septembre 2013). La requête sera ainsi rejetée s’il s’avère qu’une procédure ordinaire introduite en temps utile eût abouti à une décision plus ou moins en même temps que l’instance provisionnelle (Schlosser, Commentaire romand, Propriété intellectuelle, 2013, n. 30 ad art. 59 LPM). Il faut par ailleurs que la prétention matérielle mise apparemment en danger ou déjà violée soit vraisemblable. Le requérant est en outre tenu de rendre vraisemblable la légitimité de sa demande principale (FF 2006 p. 6961), ce qui implique, d'une part, la vraisemblance des faits à l'appui de la prétention et, d'autre part, l'apparence du droit prétendu (ATF 131 III 473 consid. 2.3). Comme l’ordonnance provisionnelle doit, de par sa nature, être prononcée rapidement, il n'est ni possible ni nécessaire d'apporter au juge la preuve que le procès est réellement fondé (Bohnet, op. cit., n. 7 ad art. 261 CPC). Si les conditions de l'article 261 CPC sont remplies, le juge ordonne les mesures provisionnelles nécessaires. La mesure qu'il</w:t>
      </w:r>
    </w:p>
    <w:p>
      <w:r>
        <w:t>- 16 -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 En vertu de l'art. 262 CPC, le juge peut ordonner toute mesure provisionnelle propre à prévenir ou à faire cesser le préjudice, à savoir notamment une interdiction (let. a) ou un ordre de cessation d'un état de fait illicite (let. b). Plus une mesure atteint de manière incisive la partie intimée, plus il convient de fixer de hautes exigences quant à la vraisemblance des faits pertinents et à l’apparence du fondement juridique de la prétention (TF 4A_611/2011 du 3 janvier 2012 consid. 4.1). A ce titre,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hautement vraisemblable (ATF 138 III 378 consid. 6.4). En l'espèce, la requête provisionnelle de la recourante tend en substance à ce que les intimés lui restituent la possession du L.________ situé sur la parcelle n° [...] de la Commune d’ [...]. L’admission d’une telle requête, qui aboutirait à la création d'une situation définitive s'agissant de la possession du L.________ précité, relève des mesures d'exécution</w:t>
      </w:r>
    </w:p>
    <w:p>
      <w:r>
        <w:t>- 17 - anticipée provisoire. Dès lors, les conditions d'octroi des mesures provisionnelles doivent être appréciées sous l'angle de la haute vraisemblance. 3.4 A teneur de l’art. 20 al. 2 CO, si le contrat n’est vicié que dans certaines de ses clauses, ces clauses sont seules frappées de nullité, à moins qu’il n’y ait lieu d’admettre que le contrat n’aurait pas été conclu sans elles. Cette disposition est applicable en cas de vice de forme (ATF 63 II 414, JdT 1938 I 369). Dans un tel cas, il faut donc déterminer ce que les parties auraient convenu si elles avaient eu connaissance du vice (ATF 138 III 29 consid. 2.3.3). Il a été jugé que la nullité d’un contrat de vente immobilière en raison d’un vice de forme n’impliquait pas nécessairement qu’un autre contrat contenu dans la même convention – en l’occurrence un contrat de mandat – soit également frappé de nullité (TF 4A_36/2013 du 4 juin 2013 consid. 2.3). 3.5 En l’espèce, les parties ont conclu une convention le 30 juin 2016, laquelle visait en substance à diviser en deux la parcelle n° [...] de la Commune d’ [...] et à créer deux entités : d’un côté la [...], appartenant à l’appelante et de l’autre le L.________ appartenant aux intimés. Cette convention, qui n’a pas été passée en la forme authentique, comme le prévoit l’art. 216 al. 1 CO pour la vente d’immeubles, ne fonde pas un transfert de la propriété du L.________ en faveur des intimés. Par ailleurs, un pré-contrat allant dans ce sens aurait nécessité la même forme (cf. art. 22 al. 2 CO). Il est donc établi que l’appelante est toujours propriétaire de l’ensemble de la parcelle, y compris du L.________, ce qui n’est d’ailleurs contesté par aucune des parties. Il n’est pas non plus contesté qu’actuellement, ce sont les intimés qui exercent la maîtrise de fait sur le L.________. La question qui se pose est dès lors celle de la légitimé de la possession exercée par les intimés. Il résulte de l’instruction que le volet principal de la convention, visant la division de la parcelle et le transfert de la propriété du L.________ aux intimés, est inopérant, faute de respect de la forme authentique. Les parties ont toutefois prévu au ch. 2.4 les</w:t>
      </w:r>
    </w:p>
    <w:p>
      <w:r>
        <w:t>- 18 - conséquences de l’hypothèse dans laquelle ce volet principal ne viendrait pas à chef. Outre le remboursement par l’intimé Q.________, après compensation, de 100'000 fr. à A.________ (let. a et c.), elles sont expressément convenues à la lettre b de cette clause que « si cette convention ne peut être mise en place au 1er trimestre 2015, le L.________ sera géré par D.________ Sàrl et les bénéfices annuels répartis équitablement à savoir 50% pour chacun. Un contrat sera établi avec B.________ SA et portera sur une durée minimale de 20 ans ». Il est ainsi vraisemblable que les parties ont convenu que, dans cette hypothèse d’inexécution du volet principal de la convention, l’intimée continuerait à exploiter le L.________, sur le long terme, avec répartition des bénéfices par moitié, un contrat devant être établi. On peut s’interroger (art. 18 al. 1 CO) sur la nature de ce « contrat à établir ». S’agit-il de la convention conclue le même jour, à laquelle il serait ici fait référence, ou d’un autre contrat encore, qui n’aurait pas été conclu à ce jour ? La réponse à cette question n’est pas décisive pour le sort de la présente procédure. En effet, il suffit de constater que les parties ont passé une convention prévoyant que l’intimée exploiterait le L.________ également dans le cas où le volet principal de la convention ne viendrait pas à chef, partant qu’elles sont convenues que l’intimée en conserverait la possession, sur une base contractuelle. A l’aune de la vraisemblance, la possession des intimés apparaît donc légitime, respectivement non dépourvue de légitimité. Or, pour que les mesures provisionnelles d’exécution anticipée en cause puissent être octroyées, il faudrait que le caractère illégitime de la possession des intimés soit rendu hautement vraisemblable. Le degré de preuve nécessaire n’est donc de loin pas atteint en l’espèce. Les autres moyens développés par l’appelante ne conduisent pas à un résultat différent. Le fait que le transfert de propriété de l’immeuble soit nul, n’a, conformément à l’art. 20 al. 2 CO, pas pour effet</w:t>
      </w:r>
    </w:p>
    <w:p>
      <w:r>
        <w:t>- 19 - de rendre nul l’accord d’exploitation contenu au chiffre 2.4. de la convention en question, accord dont la validité n’est pas subordonnée au respect de la forme authentique (art. 11 al. 1 CO). S’agissant de l’invalidation pour dol, erreur et lésion dont se prévaut l’appelante, aucun élément au dossier ne vient l’étayer. De même, le défaut de reprise de la dette hypothécaire, dont il n’est pas clair à qui il est imputable, ainsi que les divers rappels adressés par les appelants aux intimés, ne valent pas encore invalidation de la convention. Enfin, le fait que le L.________ soit actuellement fermé, apparemment de manière temporaire, l’intimé ayant indiqué vouloir le rouvrir en février 2017, ne suffit pas à prouver que la possession serait devenue illégitime. 4. En définitive, l’appelante ne rend pas vraisemblable, et a fortiori pas hautement vraisemblable, que la possession exercée par les intimés sur l’immeuble litigieux ne serait pas légitime. La condition de l’atteinte à une prétention (art. 261 al. 1 let. a CPC), préalable au prononcé de mesures provisionnelles, n’est ainsi pas réalisée, de sorte que c’est à juste titre que le premier juge a rejeté les mesures provisionnelles requises. Il n’est dès lors pas nécessaire d’examiner les autres conditions exigées par la loi, en particulier celle touchant au préjudice difficile réparable et au besoin de protection provisionnel (urgence). Par conséquent, l’appel doit être rejeté et l’ordonnance entreprise confirmée. Les frais judiciaires de deuxième instance, arrêtés à 2'000 fr. (art. 65 al. 3 TFJC [tarif des frais judiciaires civils du 28 septembre 2010 ; RSV 270.11.5]), seront mis à la charge de l’appelante, qui succombe (art. 106 al. 1 CPC). Celle-ci versera aux intimés, solidairement entre eux, la somme de 7'000 fr. (art. 7 TDC [tarif des dépens en matière civile du 23 novembre 2010 ; RSV 270.11.6]) à titre de dépens de deuxième instance.</w:t>
      </w:r>
    </w:p>
    <w:p>
      <w:r>
        <w:t>- 20 - Par ces motifs, le juge délégué de la Cour d’appel civile prononce : I. L’appel est rejeté. II. L’ordonnance est confirmée. III. Les frais judiciaires de deuxième instance, arrêtés à 2'000 fr. (deux mille francs) sont mis à la charge de l’appelante B.________ SA. IV. L’appelante B.________ SA versera aux intimés D.________ Sàrl et Q.________, solidairement entre eux, la somme de 7'000 fr. (sept mille francs) à titre de dépens de deuxième instance. V. L’arrêt est exécutoire. Le juge délégué : Le greffier : Du Le présent arrêt, dont la rédaction a été approuvée à huis clos, est notifié en expédition complète à : - Me Michel Dupuis (pour B.________ SA), - Me Luc del Rizzo (pour D.________ Sàrl et Q.________),</w:t>
      </w:r>
    </w:p>
    <w:p>
      <w:r>
        <w:t>- 21 - et communiqué, par l'envoi de photocopies, à : - Madame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