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JP12.017898 vom 9. August 2012</w:t>
      </w:r>
    </w:p>
    <w:p>
      <w:r>
        <w:t>VD Tribunal cantonal, 2012-08-09, FR</w:t>
      </w:r>
    </w:p>
    <w:p>
      <w:r>
        <w:rPr>
          <w:b/>
        </w:rPr>
        <w:t xml:space="preserve">Quelle: </w:t>
      </w:r>
      <w:r>
        <w:t>https://mcp.opencaselaw.ch/entscheid/vd_gerichte_JP12.017898</w:t>
      </w:r>
    </w:p>
    <w:p>
      <w:r>
        <w:t>FR: VD_GERICHTE JP12.017898 du 9 août 2012</w:t>
      </w:r>
    </w:p>
    <w:p>
      <w:r>
        <w:t>IT: VD_GERICHTE JP12.017898 del 9 agosto 2012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L'appelante a conclu à ce que l'ordre de publication du texte soit assorti de la menace de la peine d'amende prévue à l'art. 292 CP (Code pénal suisse du 21 décembre 1937 ; RS 311.0) qui réprime l'insoumission à une décision de l'autorité. Dans la mesure où rien n'indique que l'intimée entendrait se soustraire à un ordre de publier le droit de réponse, il ne se justifie pas d'assortir cet ordre de la menace de l'application de la peine prévue à l'art. 292 CP.</w:t>
      </w:r>
    </w:p>
    <w:p>
      <w:r>
        <w:rPr>
          <w:b/>
        </w:rPr>
        <w:t>E. 6</w:t>
      </w:r>
    </w:p>
    <w:p>
      <w:r>
        <w:t>Au vu de ce qui précède, l'appel doit être admis et le jugement réformé en ce sens que l'intimée V.________SA doit publier à ses frais la réponse de l'appelante dans la rubrique économique de la plus prochaine édition du N.________. Vu l'issue du litige, les frais judiciaires de deuxième instance, arrêtés à 2'000 fr. (art. 64 al. 1 TFJC [tarif des frais judiciaires civils du 28 septembre 2010 ; RSV 270.11.5]), doivent être mis à la charge de l'intimée (art. 106 al. 1 CPC). L'intimée versera ainsi à l'appelante la somme de 2'000 fr. à titre de restitution de l'avance de frais fournie par cette dernière (art. 111 al. 2 CPC). La charge des dépens est évaluée à 2'000 fr. pour l'appelante, de sorte que, compte tenu de ce que les frais – comprenant les frais judiciaires et les dépens (art. 95 al. 1 CPC) – doivent être mis à la charge de l'intimée, celle-ci versera en outre à l'appelante la somme de 2'000 fr. à titre de dépens.</w:t>
      </w:r>
    </w:p>
    <w:p>
      <w:r>
        <w:t>- 18 -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