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JP11.041880 vom 26. Februar 2013</w:t>
      </w:r>
    </w:p>
    <w:p>
      <w:r>
        <w:t>VD Tribunal cantonal, 2013-02-26, FR</w:t>
      </w:r>
    </w:p>
    <w:p>
      <w:r>
        <w:rPr>
          <w:b/>
        </w:rPr>
        <w:t xml:space="preserve">Quelle: </w:t>
      </w:r>
      <w:r>
        <w:t>https://mcp.opencaselaw.ch/entscheid/vd_gerichte_JP11.041880</w:t>
      </w:r>
    </w:p>
    <w:p>
      <w:r>
        <w:t>FR: VD_GERICHTE JP11.041880 du 26 février 2013</w:t>
      </w:r>
    </w:p>
    <w:p>
      <w:r>
        <w:t>IT: VD_GERICHTE JP11.041880 del 26 febbraio 2013</w:t>
      </w:r>
    </w:p>
    <w:p>
      <w:pPr>
        <w:pStyle w:val="Heading2"/>
      </w:pPr>
      <w:r>
        <w:t>Erwägungen</w:t>
      </w:r>
    </w:p>
    <w:p>
      <w:r>
        <w:rPr>
          <w:b/>
        </w:rPr>
        <w:t>E. 4</w:t>
      </w:r>
    </w:p>
    <w:p>
      <w:r>
        <w:t>En conclusion, l'appel, manifestement infondé au sens de l'art. 312 al. 1 CPC, doit être rejeté et le prononcé entrepris confirmé. Les frais judiciaires de deuxième instance, arrêtés à 800 fr. (art. 65 al. 1 TFJC [tarif du 28 septembre 2010 des frais judiciaires civils; RSV 270.11.5]), sont mis à la charge de l'appelant, qui succombe (art. 106 al. 1 CPC). Il n'y a pas lieu à l'allocation de dépens de deuxième instance, les intimés n'ayant pas été invités à se déterminer.</w:t>
      </w:r>
    </w:p>
    <w:p>
      <w:r>
        <w:t>- 13 - Par ces motifs, la juge déléguée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 S.________. IV. L'arrêt motivé est exécutoire. La juge déléguée : La greffière : Du 27 février 2013 Le dispositif de l'arrêt qui précède est communiqué par écrit aux intéressés. La greffière :</w:t>
      </w:r>
    </w:p>
    <w:p>
      <w:r>
        <w:t>- 14 - Du L'arrêt qui précède, dont la rédaction a été approuvée à huis clos, est notifié en expédition complète, par l'envoi de photocopies, à : - Me Christian Marquis, avocat (pour S.________), - Me Alexandre Reil, avocat (pour B.________ et M.________). La juge déléguée de la Cour d’appel civile considère que la valeur litigieuse est de 16'271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