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JO22.018585 vom 22. August 2022</w:t>
      </w:r>
    </w:p>
    <w:p>
      <w:r>
        <w:t>VD Tribunal cantonal, 2022-08-22, FR</w:t>
      </w:r>
    </w:p>
    <w:p>
      <w:r>
        <w:rPr>
          <w:b/>
        </w:rPr>
        <w:t xml:space="preserve">Quelle: </w:t>
      </w:r>
      <w:r>
        <w:t>https://mcp.opencaselaw.ch/entscheid/vd_gerichte_JO22.018585</w:t>
      </w:r>
    </w:p>
    <w:p>
      <w:r>
        <w:t>FR: VD_GERICHTE JO22.018585 du 22 août 2022</w:t>
      </w:r>
    </w:p>
    <w:p>
      <w:r>
        <w:t>IT: VD_GERICHTE JO22.018585 del 22 agosto 2022</w:t>
      </w:r>
    </w:p>
    <w:p>
      <w:pPr>
        <w:pStyle w:val="Heading2"/>
      </w:pPr>
      <w:r>
        <w:t>Erwägungen</w:t>
      </w:r>
    </w:p>
    <w:p>
      <w:r>
        <w:rPr>
          <w:b/>
        </w:rPr>
        <w:t>E. 3.1.1</w:t>
      </w:r>
    </w:p>
    <w:p>
      <w:r>
        <w:t>Dans un premier grief concernant le montant de l’indemnité réclamée par l’appelant à l’intimée A.M.________ pour l’occupation de la maison à [...], l’appelant reproche à l’autorité de première instance de s’être référée à l’estimation de 1'970'000 fr. du 6 avril 2022 produite par l’intimée A.M.________ pour contredire celle d’[...] SA. Il soutient que l’estimation de 1'970'000 fr. paraît dérisoire et non crédible au vu des qualités de la maison. Il reproche également à la présidente d’avoir retenu qu’il n’avait pas rendu vraisemblable que ledit bien immobilier pouvait être loué pour 12'000 fr. par mois, indemnité qui correspondrait au prix du marché, alors que la maison avait été estimée à 3'150'000 francs.</w:t>
      </w:r>
    </w:p>
    <w:p>
      <w:r>
        <w:rPr>
          <w:b/>
        </w:rPr>
        <w:t>E. 3.1.2.1</w:t>
      </w:r>
    </w:p>
    <w:p>
      <w:r>
        <w:t>À teneur de l’art. 602 al. 2 CC (Code civil suisse du 10 décembre 1907 ; RS 210), les héritiers sont propriétaires et disposent en commun des biens qui dépendent de la succession, sauf les droits de</w:t>
      </w:r>
    </w:p>
    <w:p>
      <w:r>
        <w:t>- 11 - représentation et d’administration réservés par le contrat ou la loi. Tous les membres de la communauté héréditaire ont le droit d’utiliser les biens successoraux dans les limites des droits des autres ainsi que de participer aux fruits et aux revenus des biens successoraux dans la mesure de leur part héréditaire. Un héritier qui ne peut réclamer l’attribution d’un bien que lors du partage de la succession, mais en use auparavant, doit indemniser ses cohéritiers pour la jouissance du bien entre le décès du de cujus et le moment du partage (ATF 141 III 522 consid. 2.1.1 et les références citées ; TF 5A_338/2010 du 4 octobre 2010 consid. 6.1 et les références citées). Le loyer ou le fermage dû par cet héritier pour l’usage du bien se détermine en fonction de la valeur du marché, soit selon les critères qui prévaudraient en cas de remise à bail à un tiers ou, cas échéant, en fonction de la valeur d’attribution arrêtée par le de cujus (TF 5A_338/2010 précité consid. 6.1). L’indemnité due par un héritier à la communauté héréditaire pour l’usage (et/ou la jouissance) exclusif d’un bien successoral se prescrit aussi durant l’indivision (ATF 141 III 522 précité consid. 2.1).</w:t>
      </w:r>
    </w:p>
    <w:p>
      <w:r>
        <w:rPr>
          <w:b/>
        </w:rPr>
        <w:t>E. 3.1.2.2</w:t>
      </w:r>
    </w:p>
    <w:p>
      <w:r>
        <w:t>L’art. 261 CPC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(TF 5D_219/2017 du 24 août 2018 consid. 4.2.2). Dans le cadre des mesures provisionnelles, le juge peut se limiter à la vraisemblance des faits et à l’examen sommaire du droit, en se fondant sur les moyens de preuve immédiatement disponibles (ATF 139 III 86 consid. 4.2 ; TF 5A_157/2020 du 7 août 2020 consid. 4.2 ; Juge unique CACI 1er février 2022/49 consid. 4.2.1).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(ATF</w:t>
      </w:r>
    </w:p>
    <w:p>
      <w:r>
        <w:t>- 12 - 131 III 473 consid. 2.3 ; TF 5P.422/2005 du 9 janvier 2006 consid. 3.2, SJ 2006 I 371 ; Juge unique CACI 1er février 2022/49 précité consid. 4.2.1 ; Bohnet, in Commentaire romand, Code de procédure civile, 2e éd., Bâle 2019,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(TF 5P.422/2005 précité consid. 3.2, SJ 2006 I 371 ; ATF 104 Ia 408 consid. 4 ; Juge unique CACI 1er février 2022/49 précité consid. 4.2.1 ; Bohnet, op. cit., n° 5 ad art. 261 CPC).</w:t>
      </w:r>
    </w:p>
    <w:p>
      <w:r>
        <w:rPr>
          <w:b/>
        </w:rPr>
        <w:t>E. 3.1.3.1</w:t>
      </w:r>
    </w:p>
    <w:p>
      <w:r>
        <w:t>La présidente a considéré que l’appelant n’avait pas rendu suffisamment vraisemblable que les estimations de la maison de 2'965'000 fr. et de 3'150'000 fr. qu’il alléguait correspondaient au prix du marché. La présidente a jugé que l’on ne pouvait se fonder sur la valeur du marché estimée par B.________, soit 3'150'000 fr., laquelle correspondait en réalité à la valeur vénale de la villa sur le marché immobilier de la région compte tenu de l’offre et de la demande. La présidente s’est notamment fondée sur l’existence d’une seconde expertise de 1'970'000 fr. produite par l’intimée A.M.________, sur le contrat de bail conclu entre feue X.N.________ et l’intimée A.M.________, qui n’avait jamais été appliqué s’agissant du paiement du loyer mensuel de 2'050 fr., ainsi que sur la valeur locative fiscale mensuelle de l’immeuble évaluée à 2'648 fr. 35. Au vu des pièces produites (photographies) et des déclarations des parties sur l’état de la maison et ses caractéristiques, l’autorité précédente a retenu qu’un loyer de 12'000 fr. par mois n’apparaissait pas crédible.</w:t>
      </w:r>
    </w:p>
    <w:p>
      <w:r>
        <w:rPr>
          <w:b/>
        </w:rPr>
        <w:t>E. 3.1.3.2</w:t>
      </w:r>
    </w:p>
    <w:p>
      <w:r>
        <w:t>En l’espèce, l’avis de la présidente doit être suivi. L’appelant n’amène aucun élément rendant vraisemblable sa prétention. L’expertise de 3'150'000 fr. qu’il a produite ne peut être suffisante même pour attester de la valeur du bien, et dès lors encore moins pour que l’on en déduise la valeur de location. En effet, cette évaluation a été effectuée par une connaissance de l’appelant (cf. ordonnance du 22 août 2022, p. 4) et</w:t>
      </w:r>
    </w:p>
    <w:p>
      <w:r>
        <w:t>- 13 - elle est contredite par une autre expertise de 1'970'000 francs. Au surplus, les considérations de l’appelant quant à la qualité du bien, soit sa taille, ses aménagements extérieurs et la vue sur le [...], et à la valeur de location d’un appartement aux alentours de [...] ne peuvent suffire à justifier l’indemnité qu’il requiert. Comme déjà mentionné, les expertises ne sauraient suffire à évaluer la valeur de location. En outre, l’opinion de l’appelant sur le prix de location des appartements n’est étayée par aucun élément autre que ses propres déclarations, étant précisé que l’on ne saurait solliciter dans le cadre de la maxime des débats (art. 255 CPC a contrario) que le juge consulte les annonces sur internet, qui ne constituent manifestement pas des faits notoires, celles-ci ne bénéficiant pas d’une empreinte officielle (cf. ATF 143 IV 380 consid. 1.2 ; TF 2D_41/2019 du 21 avril 2020 consid. 2.4). L’appelant échoue donc à démontrer son droit.</w:t>
      </w:r>
    </w:p>
    <w:p>
      <w:r>
        <w:rPr>
          <w:b/>
        </w:rPr>
        <w:t>E. 3.2.1</w:t>
      </w:r>
    </w:p>
    <w:p>
      <w:r>
        <w:t>Dans un second grief toujours relatif au montant de l’indemnité, l’appelant soutient que la présidente aurait pu aborder elle- même la question de la quotité de ce montant et le réduire si elle l’estimait utile, voire solliciter des parties des éléments complémentaires afin de déterminer le montant qu’elle estimait adéquat, si bien que son droit d’être entendu aurait été violé.</w:t>
      </w:r>
    </w:p>
    <w:p>
      <w:r>
        <w:rPr>
          <w:b/>
        </w:rPr>
        <w:t>E. 3.2.2.1</w:t>
      </w:r>
    </w:p>
    <w:p>
      <w:r>
        <w:t>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et les références citées ; ATF 142 II 218 consid. 2.3 et les références citées)</w:t>
      </w:r>
    </w:p>
    <w:p>
      <w:r>
        <w:t>- 14 -</w:t>
      </w:r>
    </w:p>
    <w:p>
      <w:r>
        <w:rPr>
          <w:b/>
        </w:rPr>
        <w:t>E. 3.2.2.2</w:t>
      </w:r>
    </w:p>
    <w:p>
      <w:r>
        <w:t>En vertu de l’art. 311 al. 1 CPC, l’appel doit être motivé. Pour satisfaire à son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précité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w:t>
      </w:r>
    </w:p>
    <w:p>
      <w:r>
        <w:rPr>
          <w:b/>
        </w:rPr>
        <w:t>E. 3.2.3</w:t>
      </w:r>
    </w:p>
    <w:p>
      <w:r>
        <w:t>Le grief que soulève l’appelant concernant son droit d’être entendu est sans substance. L’appelant n’étaye aucunement ce grief et n’indique notamment pas sur quelle base la présidente aurait eu cette obligation, ce qui contrevient à l’exigence de motivation de l’appel et rend le grief irrecevable. En outre, le droit d’être entendu n’implique pas que le juge interpelle les parties sur les carences de celles-ci en matière d’administration des preuves ou d’allégation (cf. TF 4A_487/2018 du 30 janvier 2019 consid. 4.2.2).</w:t>
      </w:r>
    </w:p>
    <w:p>
      <w:r>
        <w:rPr>
          <w:b/>
        </w:rPr>
        <w:t>E. 3.3</w:t>
      </w:r>
    </w:p>
    <w:p>
      <w:r>
        <w:t>Au vu de ce qui précède, les griefs relatifs au montant de l’indemnité réclamée par l’appelant à l’intimée A.M.________ doivent être écartés et, pour ce motif déjà, l’appel doit être rejeté.</w:t>
      </w:r>
    </w:p>
    <w:p>
      <w:r>
        <w:rPr>
          <w:b/>
        </w:rPr>
        <w:t>E. 4</w:t>
      </w:r>
    </w:p>
    <w:p>
      <w:r>
        <w:t>- 15 -</w:t>
      </w:r>
    </w:p>
    <w:p>
      <w:r>
        <w:rPr>
          <w:b/>
        </w:rPr>
        <w:t>E. 4.1</w:t>
      </w:r>
    </w:p>
    <w:p>
      <w:r>
        <w:t>L’appelant fait encore valoir que la présidente aurait retenu à tort qu’il n’avait pas démontré être exposé à un préjudice difficilement réparable, ni à l’urgence de remédier à un tel préjudice, en raison du fait que la succession comportait assez d’actifs. Il allègue que l’indemnité due par l’intimée A.M.________ s’élèverait déjà au jour de l’appel à 348'000 fr. et qu’en cas d’attente du jugement au fond, dite indemnité serait plus élevée encore.</w:t>
      </w:r>
    </w:p>
    <w:p>
      <w:r>
        <w:rPr>
          <w:b/>
        </w:rPr>
        <w:t>E. 4.2</w:t>
      </w:r>
    </w:p>
    <w:p>
      <w:r>
        <w:t>Toute mesure provisionnelle présuppose la nécessité d’une protection immédiate en raison d’un danger imminent menaçant ses droits (Bohnet, op. cit.,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16 juin 2023/ES55 consid. 4.2.2 ; Juge unique CACI 1er février 2022/49 précité consid. 4.2.1). Le risque de préjudice difficilement réparable de l’art. 261 al. 1 let. b CPC est principalement de nature factuelle ;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5A_934/2014 du 5 mars 2015 consid. 2.3).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w:t>
      </w:r>
    </w:p>
    <w:p>
      <w:r>
        <w:t>- 16 - trouble créé sur le marché par l’utilisation d’un signe créant un risque de confusion (TF 4A_611/2011 précité consid. 4.1). Il y a risque de préjudice difficilement réparable lorsque la preuve de l’existence du dommage ou de sa quotité se heurterait, en raison de la nature de l’affaire, à des difficultés considérables. Un préjudice financier n’est en principe pas difficilement réparable, hormis les cas exceptionnels où il est susceptible d’entraîner la faillite de l’intéressé ou la perte de ses moyens d’existence (Juge unique CACI 16 juin 2023/ES55 précité consid. 4.2.2 ; Juge unique CACI 9 octobre 2020/433 consid. 4.2.1 ; Juge unique CACI 16 septembre 2016/522 consid. 3.1).</w:t>
      </w:r>
    </w:p>
    <w:p>
      <w:r>
        <w:rPr>
          <w:b/>
        </w:rPr>
        <w:t>E. 4.3</w:t>
      </w:r>
    </w:p>
    <w:p>
      <w:r>
        <w:t>Dans la mesure où l’appelant échoue à déterminer le montant de l’indemnité à payer par l’intimée A.M.________, il n’est pas possible de vérifier si les montants, importants, que celle-ci obtiendra dans le cadre de la succession pourraient couvrir les indemnités cumulées dues à la fin du procès au fond. Cela étant, l’appelant se contente d’appréciations très générales quant à la durée de la procédure – qu’il n’objective ni ne motive – ou à l’impact des charges liées à l’immeuble sur le patrimoine ou le train de vie des autres héritiers. A défaut d’éléments démontrés, le grief est à nouveau sans consistance et insuffisamment motivé (cf. art. 311 al. 1 CPC ; consid. 3.2.2.3 supra). En tous les cas, l’appelant n’établit aucunement le risque d’un préjudice difficilement réparable. Le grief doit donc être écarté.</w:t>
      </w:r>
    </w:p>
    <w:p>
      <w:r>
        <w:rPr>
          <w:b/>
        </w:rPr>
        <w:t>E. 5.1</w:t>
      </w:r>
    </w:p>
    <w:p>
      <w:r>
        <w:t>En conclusion, l’appel doit être rejeté et l’ordonnance attaquée confirmée.</w:t>
      </w:r>
    </w:p>
    <w:p>
      <w:r>
        <w:rPr>
          <w:b/>
        </w:rPr>
        <w:t>E. 5.2</w:t>
      </w:r>
    </w:p>
    <w:p>
      <w:r>
        <w:t>Les frais judiciaires de deuxième instance, arrêtés à 800 fr. (art. 65 al. 1 TFJC [tarif des frais judiciaires civils du 28 septembre 2010 ; BLV 270.11.5]), seront mis à la charge de l’appelant, qui succombe (art. 106 al. 1 CPC).</w:t>
      </w:r>
    </w:p>
    <w:p>
      <w:r>
        <w:t>- 17 -</w:t>
      </w:r>
    </w:p>
    <w:p>
      <w:r>
        <w:rPr>
          <w:b/>
        </w:rPr>
        <w:t>E. 5.3</w:t>
      </w:r>
    </w:p>
    <w:p>
      <w:r>
        <w:t>Vu l’issue du litige, l’appelant, qui succombe, versera à l’intimée A.M.________ de pleins dépens de deuxième instance, qui seront arrêtés à 1’800 fr. (art. 7 al. 1 TDC [tarif des dépens en matière civile du 23 novembre 2010 ; BLV 270.11.6]). Il n’y a en revanche pas lieu à l’allocation de dépens aux intimés F.L.________ et G.L.________, ceux-ci ayant conclu à l’admission de l’appel.</w:t>
      </w:r>
    </w:p>
    <w:p>
      <w:r>
        <w:t>- 18 - Par ces motifs, le Juge unique de la Cour d’appel civile prononce : I. L’appel est rejeté. II. L’ordonnance est confirmée. III. Les frais judiciaires de deuxième instance, arrêtés à 800 fr. (huit cents francs), sont mis à la charge de l’appelant E.L.________. IV. L’appelant E.L.________ doit verser à l’intimée A.M.________ la somme de 1’800 fr. (mille huit cents francs) à titre de dépens de deuxième instance. V. L’arrêt est exécutoire. Le juge unique : La greffière : Du Le présent arrêt, dont la rédaction a été approuvée à huis clos, est notifié à : - Me Thomas Barth (pour E.L.________), - M. F.L.________, personnellement, - Mme G.L.________, personnellement, - Me Gilles Davoine (pour A.M.________),</w:t>
      </w:r>
    </w:p>
    <w:p>
      <w:r>
        <w:t>- 19 - et communiqué, par l’envoi de photocopies, à : - Madame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