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JM21.050147 vom 19. Mai 2022</w:t>
      </w:r>
    </w:p>
    <w:p>
      <w:r>
        <w:t>VD Tribunal cantonal, 2022-05-19, FR</w:t>
      </w:r>
    </w:p>
    <w:p>
      <w:r>
        <w:rPr>
          <w:b/>
        </w:rPr>
        <w:t xml:space="preserve">Quelle: </w:t>
      </w:r>
      <w:r>
        <w:t>https://mcp.opencaselaw.ch/entscheid/vd_gerichte_JM21.050147</w:t>
      </w:r>
    </w:p>
    <w:p>
      <w:r>
        <w:t>FR: VD_GERICHTE JM21.050147 du 19 mai 2022</w:t>
      </w:r>
    </w:p>
    <w:p>
      <w:r>
        <w:t>IT: VD_GERICHTE JM21.050147 del 19 maggio 2022</w:t>
      </w:r>
    </w:p>
    <w:p>
      <w:pPr>
        <w:pStyle w:val="Heading2"/>
      </w:pPr>
      <w:r>
        <w:t>Erwägungen</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[ZPO], 3 éd., Bâle 2017, e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3.1.1</w:t>
      </w:r>
    </w:p>
    <w:p>
      <w:r>
        <w:t>La transaction judiciaire a la portée d'un jugement si bien qu'elle est susceptible d'exécution forcée (TF 4A_43/2017 du 7 mars 2017 consid. 5 ; cf. ég. Colombini, Condensé de la jurisprudence fédérale et vaudoise, 2018, n. 1.1. ad art. 335 CPC). Si le tribunal qui a rendu la décision a ordonné les mesures d'exécution nécessaires (art. 236 al. 3 CPC), la décision peut être exécutée directement, sans qu'il soit</w:t>
      </w:r>
    </w:p>
    <w:p>
      <w:r>
        <w:t>- 7 - nécessaire d'introduire une procédure d'exécution (exécution directe ; art. 337 CPC). La partie qui a obtenu gain de cause peut faire directement appel à la personne ou à l'autorité exécutive chargée de procéder à l'exécution forcée proprement dite (TF 5A_1047/2017 du 3 mai 2018 consid. 3.3.1 et les réf. doctrinales citées). Lorsque la décision ne peut pas être exécutée directement, une requête d'exécution doit être présentée au tribunal de l'exécution, juge du fond et autorité d'exécution étant alors dissociés (exécution indirecte ; art. 338 ss CPC ; ATF 142 III 587 consid. 3 ; TF 5A_1047/2017, déjà cité, consid. 3.3.1 ; cf. ég. Jeandin, op. cit., n. 1 ad art. 337 CPC).</w:t>
      </w:r>
    </w:p>
    <w:p>
      <w:r>
        <w:rPr>
          <w:b/>
        </w:rPr>
        <w:t>E. 3.1.2</w:t>
      </w:r>
    </w:p>
    <w:p>
      <w:r>
        <w:t>Dans le cas d'espèce, on ne se trouve pas dans le cadre d'une exécution directe.</w:t>
      </w:r>
    </w:p>
    <w:p>
      <w:r>
        <w:rPr>
          <w:b/>
        </w:rPr>
        <w:t>E. 3.2.1</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rPr>
          <w:b/>
        </w:rPr>
        <w:t>E. 3.2.2</w:t>
      </w:r>
    </w:p>
    <w:p>
      <w:r>
        <w:t>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notamment des faits dont la survenance a eu pour conséquence l'extinction de la prétention à exécuter. L'intimé à l'exécution supporte le fardeau de l'allégation et de la preuve d'une telle objection de droit matériel (TF 4A_432/2019 du 13 décembre 2019 consid. 3.3.2 ; TF 5A_167/2017 du 11 septembre 2017 consid. 6.2 ; TF 5D_124/2015 du 18 mai 2016 consid.</w:t>
      </w:r>
    </w:p>
    <w:p>
      <w:r>
        <w:t>- 8 - 2.3.3 ; TF 4A_269/2012 du 7 décembre 2012 consid. 4.1). L'intimé à l'exécution doit notamment alléguer et prouver que les faits fondant son objection se sont produits postérieurement au jugement (TF 5D_178/2019 du 26 mai 2020 consid. 4.4).</w:t>
      </w:r>
    </w:p>
    <w:p>
      <w:r>
        <w:rPr>
          <w:b/>
        </w:rPr>
        <w:t>E. 4</w:t>
      </w:r>
    </w:p>
    <w:p>
      <w:r>
        <w:t>La recourante fait valoir plusieurs griefs.</w:t>
      </w:r>
    </w:p>
    <w:p>
      <w:r>
        <w:rPr>
          <w:b/>
        </w:rPr>
        <w:t>E. 4.1</w:t>
      </w:r>
    </w:p>
    <w:p>
      <w:r>
        <w:t>La recourante fait tout d'abord état de litispendances préexistantes devant à la fois le Tribunal d'arrondissement de Lausanne et devant la Chambre patrimoniale cantonale. Force est de constater qu'il ne s'agit pas là d'autorités d'exécution forcée (tribunaux d'exécution), ce qui n'est pas à même de justifier l'exception de litispendance évoquée par la recourante. On ne discerne à cet égard aucune violation des art. 59 al. 2 let. d et 60 CPC.</w:t>
      </w:r>
    </w:p>
    <w:p>
      <w:r>
        <w:rPr>
          <w:b/>
        </w:rPr>
        <w:t>E. 4.2</w:t>
      </w:r>
    </w:p>
    <w:p>
      <w:r>
        <w:t>La recourante fait valoir une violation de ces mêmes dispositions en lien avec le fait qu'une conclusion de la partie adverse (conclusion 6 de la requête) a été prise à l'encontre de [...], alors que cette société n'est pas partie à la procédure. Quoi qu'en dise la recourante, des tiers peuvent être concernés par une décision d'exécution forcée (cf. art. 346 CPC). On ne discerne encore une fois aucune violation des art. 59 al. 2 let. d et 60 CPC. On relèvera encore, à toutes fins utiles, que la recourante ne bénéficie pas d'un intérêt juridique digne de protection à se préoccuper de l'injonction faite au tiers concerné, qui dispose de son propre droit de recours.</w:t>
      </w:r>
    </w:p>
    <w:p>
      <w:r>
        <w:rPr>
          <w:b/>
        </w:rPr>
        <w:t>E. 4.3</w:t>
      </w:r>
    </w:p>
    <w:p>
      <w:r>
        <w:t>Pour le surplus, on ne décèle aucun déni de justice au sens de l'art. 29 al. 1 Cst. ni de violation du droit d'être entendu au sens de l'art. 29 al. 2 Cst., l'autorité n'ayant pas à se prononcer sur l'ensemble des arguments évoqués par une partie. Le juge n'a pas l'obligation d'exposer et de discuter tous les faits, moyens de preuve et griefs invoqués par les parties, mais peut se limiter à l'examen des questions décisives pour l'issue du litige (ATF 142 II 154 consid. 4.2). La motivation peut d'ailleurs</w:t>
      </w:r>
    </w:p>
    <w:p>
      <w:r>
        <w:t>- 9 - être implicite et résulter des différents considérants de la décision (TF 5A_444/2020 du 28 avril 2020 consid. 4.1; ATF 141 V 557 consid. 3.2.1). Dans le cadre d'une requête en exécution, le tribunal de l'exécution n'a pas à se prononcer sur le retrait d'un passage de la requête jugé inadmissible par la partie adverse (en l'occurrence la conclusion 2 de la réponse et 4 de la duplique de la recourante). Quant à la requête de suspension (conclusion 2 de la duplique), le tribunal l'a implicitement rejetée en statuant dans le sens de l'ordonnance entreprise, ce qui n'est pas ici remis en cause. Si l'ordonnance entreprise n'est pas entrée en matière sur tous les moyens développés par la recourante c'est que ces arguments étaient dénués de pertinence et qu'ils ne méritaient pas que l'autorité les examine. On le comprend à la lecture des griefs soulevés devant l'autorité de céans et développés sous plusieurs intitulés (« La violation du droit d'être entendu et déni de justice », « Violation des art. 27 al. 2 CC, 404 CO et 641 CC », « Révision déguisée du Jugement de divorce », « Violation de l'art. 2 al. 2 CC »), lesquels griefs sont dénués de toute portée. Comme le fait valoir l'intimé, les moyens soulevés ne concernent manifestement pas la procédure d'exécution forcée, soit les exceptions que peut faire valoir la partie succombante selon l'art. 341 al. 3 CPC.</w:t>
      </w:r>
    </w:p>
    <w:p>
      <w:r>
        <w:rPr>
          <w:b/>
        </w:rPr>
        <w:t>E. 4.4</w:t>
      </w:r>
    </w:p>
    <w:p>
      <w:r>
        <w:t>La recourante invoque ensuite une violation de l'art. 341 al. 3 CPC. La procédure d'exécution ne se confond pas avec une remise en cause de la décision au fond. L'objet du litige n'a pas à être revu. Il n'y a ainsi pas matière à examiner « la validité de la résiliation du contrat de gestion ». Il ressort de l'ordonnance entreprise que la recourante n'a en réalité fait valoir en première instance aucun fait qui se serait produit après la notification du jugement à exécuter. La recourante n'explique d'ailleurs pas de manière circonstanciée en quoi d'éventuels faits pouvant s'opposer à l'exécution, et qui auraient été soulevés en première instance, n'auraient pas été pris en compte et encore moins ne démontre l'arbitraire sur cette question. La résiliation du mandat de gestion confié à</w:t>
      </w:r>
    </w:p>
    <w:p>
      <w:r>
        <w:t>- 10 - K.________SA découle directement de l'exécution du jugement, puisqu'aux termes de la transaction, valant jugement exécutoire, la gestion de l'immeuble est attribuée à l'intimé. In casu, il s'agit d'attribuer la gestion d'un immeuble prévue par transaction judiciaire, sans qu'il n'apparaisse que cette gestion ait été remise en cause par le biais d'une modification de jugement. Il importe dès lors peu qu'une résiliation de cette gestion par la recourante soit intervenue. On ne voit pas en quoi une résiliation par l'une des parties à la procédure pourrait faire obstacle à une gestion prévue dans le jugement à exécuter. Ainsi, c'est à juste titre que la convention ratifiée doit être exécutée, sans que l'on ne puisse constater une exécution allant au-delà du chiffre Il du dispositif de la transaction. C'est donc à tort que la recourante fait valoir que le chiffre VI de l'ordonnance d'exécution implique « un accès pour M. M.________ à de nombreuses informations relatives à l'immeuble », ce qui serait constitutif d'une révision du jugement de divorce. Le droit de gérer l'immeuble doit être distingué du droit de contrôle de la gestion de cet immeuble, la convention à exécuter ayant bien fait la distinction. Il est ainsi faux de soutenir que le jugement de divorce prévoit un droit d'intervention de la recourante ; il prévoit uniquement un droit de contrôle, libellé clairement en ces termes : « X.________ pourra en tout temps contrôler la gestion de l'immeuble ; elle recevra automatiquement les comptes trimestriels ».</w:t>
      </w:r>
    </w:p>
    <w:p>
      <w:r>
        <w:rPr>
          <w:b/>
        </w:rPr>
        <w:t>E. 5</w:t>
      </w:r>
    </w:p>
    <w:p>
      <w:r>
        <w:t>En définitive, le recours, infondé, doit être rejeté et l'ordonnance attaquée confirmée. Les frais judiciaires de deuxième instance, arrêtés à 500 fr. (art. 82 al. 1 TFJC [tarif des frais judiciaires civils du 28 septembre 2010 ; BLV 270.11.5]), seront mis à la charge de la recourante, qui succombe (art. 106 al. 1 CPC).</w:t>
      </w:r>
    </w:p>
    <w:p>
      <w:r>
        <w:t>- 11 - La recourante versera à l’intimé la somme de 800 fr. (art. 3 al. 2 TDC [tarif des dépens en matière civile du 23 novembre 2010; BLV 270.11.6]) à titre de dépens de deuxième instance. Par ces motifs, la Chambre des recours civile du Tribunal cantonal, prononce : I. Le recours est rejeté. II. L'ordonnance est confirmée. III. Les frais judiciaires de deuxième instance, arrêtés à 500 fr. (cinq cents francs), sont mis à la charge de la recourante X.________. IV. La recourante X.________ doit verser à l'intimé M.________ la somme de 800 fr. (huit cents francs) à titre de dépens de deuxième instance. V. L'arrêt est exécutoire. Le président : La greffière: Du L'arrêt qui précède, dont la rédaction a été approuvée à huis clos, est notifié à : - Me François Canonica, avocat (pour X.________), - Me Cédric Aguet, avocat (pour M.________).</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