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JM16.044301 vom 19. Januar 2017</w:t>
      </w:r>
    </w:p>
    <w:p>
      <w:r>
        <w:t>VD Tribunal cantonal, 2017-01-19, FR</w:t>
      </w:r>
    </w:p>
    <w:p>
      <w:r>
        <w:rPr>
          <w:b/>
        </w:rPr>
        <w:t xml:space="preserve">Quelle: </w:t>
      </w:r>
      <w:r>
        <w:t>https://mcp.opencaselaw.ch/entscheid/vd_gerichte_JM16.044301</w:t>
      </w:r>
    </w:p>
    <w:p>
      <w:r>
        <w:t>FR: VD_GERICHTE JM16.044301 du 19 janvier 2017</w:t>
      </w:r>
    </w:p>
    <w:p>
      <w:r>
        <w:t>IT: VD_GERICHTE JM16.044301 del 19 gennaio 2017</w:t>
      </w:r>
    </w:p>
    <w:p>
      <w:pPr>
        <w:pStyle w:val="Heading2"/>
      </w:pPr>
      <w:r>
        <w:t>Erwägungen</w:t>
      </w:r>
    </w:p>
    <w:p>
      <w:r>
        <w:rPr>
          <w:b/>
        </w:rPr>
        <w:t>E. 29</w:t>
      </w:r>
    </w:p>
    <w:p>
      <w:r>
        <w:t>al. 2 Cst. [Constitution fédérale de la Confédération suisse du 18 avril 1999 ; RS 101]) de nature formelle, dont la violation entraîne l'annulation de la décision attaquée sans égard aux chances de succès du recours sur le fond (ATF 127 V 431 consid. 3d/aa). Le droit d'être entendu comprend le</w:t>
      </w:r>
    </w:p>
    <w:p>
      <w:r>
        <w:t>- 9 - droit pour le particulier notamment de s'expliquer avant qu'une décision ne soit prise à son détriment (cf. ATF 124 I 49 consid. 3a ; ATF 124 I 241 consid. 2 ; ATF 122 I 53 consid. 4a et les arrêts cités ; CREC 29 octobre 2013/323 consid. 3.1.2). Avant de rendre son jugement, l'autorité doit ainsi communiquer aux parties toute prise de position nouvelle versée au dossier – que celle-ci contienne ou non des éléments nouveaux et qu'elle soit ou non susceptible concrètement d'influer sur le jugement à rendre – pour permettre à celles-ci de décider si elles veulent ou non faire usage de leur faculté de se déterminer (ATF 139 1189 consid. 3.2 ; TF 5A_ 263/2013 du 13 août 2013 consid. 2.1 et les réf. citées). Lorsque le droit de procédure prévoit un seul échange d'écritures, l'autorité peut toutefois se limiter à transmettre pour information les écritures des parties, sans renvoyer formellement le destinataire à son droit de réplique. Si celui-ci ne réagit pas dans un délai approprié, l'autorité peut admettre qu'il a renoncé à son droit de réplique (ATF 133 I 98 ; ATF 132 I 42), du moins si on peut attendre de la partie qu'elle prenne position immédiatement sans y avoir été invitée, ce qui est le cas lorsqu'elle est assistée d'un avocat (ATF 138 I 484, rés. in JdT 2014 I</w:t>
      </w:r>
    </w:p>
    <w:p>
      <w:r>
        <w:rPr>
          <w:b/>
        </w:rPr>
        <w:t>E. 32</w:t>
      </w:r>
    </w:p>
    <w:p>
      <w:r>
        <w:t>; TF 5A_538/2010 du 3 novembre 2010, in RSPC 2011 p. 145, note de Bohnet, qui souligne que la partie non assistée doit être rendue attentive à son droit de réplique). En revanche, s'il requiert immédiatement à réception d'une écriture la fixation d'un délai de détermination, le tribunal doit y donner suite, sous peine de violer le droit d'être entendu (ATF 133 I 100). S’agissant du droit à la preuve, l’art. 152 al. 1 CPC dispose que toute partie a droit à ce que le tribunal administre les moyens de preuve adéquats proposés régulièrement et en temps utile. Cette disposition découle du fardeau de la preuve (art. 8 CC [Code civil suisse du 10 décembre 1907 ; RS 210]) et du droit d’être entendu, qui comprend à cet égard le droit pour l’intéressé de produire des preuves pertinentes, d’obtenir qu’il soit donné suite à ses offres de preuve pertinentes, de participer à l’administration des preuves essentielles ou à tout le moins de s’exprimer sur son résultat, lorsque cela est de nature à influer sur la</w:t>
      </w:r>
    </w:p>
    <w:p>
      <w:r>
        <w:t>- 10 -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encore l’amener à modifier son opinion (ATF 136 I 229 consid. 5.3 ; ATF 124 I 208 consid. 4a ; TF 5A_304/2014 du 13 octobre 2014 consid. 3.3 ; TF 1C_6/2009 du 24 août 2009). 6.3 En l’espèce, les recourants se sont déterminés sur la requête d’exécution forcée le 15 novembre 2016, soit dans le délai prolongé à cet effet. Après le complément de conclusions de la partie intimée du 2 décembre 2016, dont copie leur a été transmise, ils ont adressé une ultime détermination, spontanée, le 12 décembre 2016, de sorte qu'on ne distingue aucune violation du droit à la réplique. Quant aux réquisitions de preuves formulées par les recourants à l’appui de leurs déterminations du 15 novembre 2016, censées « démontrer que les poursuites intentées [par W.________] n’étaient que procédé chicanier » (recours, p. 18), elles n’étaient pas pertinentes, dès lors que ces poursuites prétendument intentées de mauvaise foi par l'intimée ont été retirées avant le dépôt de la requête d'exécution forcée (consid. 5.3 supra). Le moyen tiré d’une violation du droit d’être entendu est donc mal fondé et doit être rejeté. 7. C’est également à tort que les recourants invoquent, comme dernier moyen, un abus de droit de l'intimée, puisqu’il est évident que cette dernière exerce son droit de manière légitime en poursuivant l'exécution forcée d'un engagement pris par les recourants qui, eux, ne le respectent pas.</w:t>
      </w:r>
    </w:p>
    <w:p>
      <w:r>
        <w:t>- 11 - 8. Compte tenu de ce qui précède, le recours, manifestement infondé, doit être rejeté selon le mode procédural de l'art. 322 al. 1 CPC et l'ordonnance d'exécution forcée confirmée. Les frais judiciaires de deuxième instance, arrêtés à 200 fr. (art. 69 al. 1 TFJC [tarif des frais judiciaires civils du 28 septembre 2010 ; RSV 270.11.5]), seront mis à la charge des recourants, qui succombent (art. 106 al. 1 CPC), solidairement entre eux. Il n'est pas alloué de dépens de deuxième instance, l'intimée n'ayant pas été invitée à se déterminer. Par ces motifs, la Chambre des recours civile du Tribunal cantonal, statuant à huis clos, prononce : I. Le recours est rejeté. II. L’ordonnance est confirmée. III. Les frais judiciaires de deuxième instance, arrêtés à 200 fr. (deux cents francs), sont mis à la charge des recourants B.V.________ et C.V.________, solidairement entre eux. IV. L’arrêt est exécutoire. La présidente : Le greffier :</w:t>
      </w:r>
    </w:p>
    <w:p>
      <w:r>
        <w:t>- 12 - Du L'arrêt qui précède, dont la rédaction a été approuvée à huis clos, est notifié à : : - Me Tony Donnet-Monay (pour B.V.________ et C.V.________), - M. Mikaël Ferreiro, aab (pour W.________).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