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JM15.004066 vom 3. Juli 2015</w:t>
      </w:r>
    </w:p>
    <w:p>
      <w:r>
        <w:t>VD Tribunal cantonal, 2015-07-03, FR</w:t>
      </w:r>
    </w:p>
    <w:p>
      <w:r>
        <w:rPr>
          <w:b/>
        </w:rPr>
        <w:t xml:space="preserve">Quelle: </w:t>
      </w:r>
      <w:r>
        <w:t>https://mcp.opencaselaw.ch/entscheid/vd_gerichte_JM15.004066</w:t>
      </w:r>
    </w:p>
    <w:p>
      <w:r>
        <w:t>FR: VD_GERICHTE JM15.004066 du 3 juillet 2015</w:t>
      </w:r>
    </w:p>
    <w:p>
      <w:r>
        <w:t>IT: VD_GERICHTE JM15.004066 del 3 luglio 2015</w:t>
      </w:r>
    </w:p>
    <w:p>
      <w:pPr>
        <w:pStyle w:val="Heading2"/>
      </w:pPr>
      <w:r>
        <w:t>Erwägungen</w:t>
      </w:r>
    </w:p>
    <w:p>
      <w:r>
        <w:rPr>
          <w:b/>
        </w:rPr>
        <w:t>E. 1</w:t>
      </w:r>
    </w:p>
    <w:p>
      <w:r>
        <w:t>L’art. 110 CPC (Code de procédure civile du 19 décembre 2008 ; RS 272) ouvre la voie du recours séparé de l’art. 319 let. b ch. 1</w:t>
      </w:r>
    </w:p>
    <w:p>
      <w:r>
        <w:t>- 4 - CPC contre la décision sur les frais (Tappy, CPC commenté, 2011, n. 3 ad art. 110 CPC), ceux-ci comprenant les dépens (art. 95 al. 1 let. b CPC). Interjeté en temps utile par une partie y ayant un intérêt,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2e éd., Bâle 2013, n. 26 ad art. 319 CPC, p.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La production de pièces nouvelles en deuxième instance est prohibée (art. 326 al. 1 CPC). En l’espèce la pièce n° 3 du bordereau du recourant du 11 juin 2015 ne figure pas au dossier de première instance. Elle en conséquence irrecevable, car nouvelle.</w:t>
      </w:r>
    </w:p>
    <w:p>
      <w:r>
        <w:rPr>
          <w:b/>
        </w:rPr>
        <w:t>E. 3</w:t>
      </w:r>
    </w:p>
    <w:p>
      <w:r>
        <w:t>Le recourant conteste la mise à sa charge des frais de serrurier et des frais de déménagement. Pour les premiers, il conteste la nécessité</w:t>
      </w:r>
    </w:p>
    <w:p>
      <w:r>
        <w:t>- 5 - d’une ouverture forcée et, pour les seconds, il les estime totalement disproportionnés. a) 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 Droesé, in Basler Kommentar, Schweizerische Zivilprozessordnung, 2e éd., Bâle 2013, nn. 18-19 ad art. 339 CPC, p. 1899), ainsi que les frais de déménageur et de serrurier (CREC 6 décembre 2011/237). Les frais de la procédure d’exécution sont à la charge de la partie succombante (art. 106 al. 1 CPC ; Jeandin, CPC commenté, Bâle 2011, nn. 16 et 18 ad art. 343 CPC, p. 1340) ; en ordonnant des mesures d’exécution forcée, le tribunal de l’exécution peut toutefois exiger du créancier qu’il avance les frais présumés (art. 98 CPC ; ibidem, p. 1340 ; CREC 6 décembre 2011/237). b) En l’espèce, c’est en vain que le recourant conteste devoir les frais de tiers dans la procédure d’exécution forcée. Il résulte du procès- verbal d’exécution du 13 mai 2013 qu’une ouverture forcée de la cave, la pose de cylindre de serrure provisoire pour la porte palière et la pose d’un cylindre de serrure définitif pour la boîte aux lettres ont dû être effectuées, de sorte que les frais de serrurier sont justifié dans leur principe et leur montant, la facture ayant été produite par les intimés. Il en va de même des frais de déménagement, le procès-verbal d’exécution forcée faisant état d’un logement en grande partie vidé, mais en désordre, les meubles et effets personnel du recourant étant entreposés dans un garde-meuble, les autres affaires étant amenées à la déchetterie. La facture de l’entreprise de déménagement fait notamment état d’une tonne de matériel et déchets incinérés ainsi que de 9 heures de travail à trois hommes et de 6 heures de travail à deux hommes. Cette facture n’a dès lors rien de disproportionné dans son montant.</w:t>
      </w:r>
    </w:p>
    <w:p>
      <w:r>
        <w:t>- 6 -</w:t>
      </w:r>
    </w:p>
    <w:p>
      <w:r>
        <w:rPr>
          <w:b/>
        </w:rPr>
        <w:t>E. 4</w:t>
      </w:r>
    </w:p>
    <w:p>
      <w:r>
        <w:t>En conclusion, le recours doit être rejeté selon le mode procédural de l’art. 322 al. 1 CPC et le prononcé confirmé. Vu le rejet du recours, les frais judiciaires de deuxième instance, arrêtés à 200 fr. (art. 69 al. 1 TFJC [tarif du 28 septembre 2010 des frais judiciaires civils ; RSV 270.11.5]), doivent être mis à la charge du recourant. Par ces motifs, la Chambre des recours civile du Tribunal cantonal, en application de l'art. 322 al. 1 CPC, prononce : I. Le recours est rejeté. II. Le prononcé est confirmé. III. Les frais judiciaires de deuxième instance, arrêtés à 200 fr. (deux cents francs) sont mis à la charge du recourant Z.________. IV. L’arrêt motivé est exécutoire. Le président : Le greffier :</w:t>
      </w:r>
    </w:p>
    <w:p>
      <w:r>
        <w:t>- 7 - Du 7 juillet 2015 Le dispositif de l'arrêt qui précède est communiqué par écrit aux intéressés. Le greffier : Du L'arrêt qui précède, dont la rédaction a été approuvée à huis clos, est notifié en expédition complète, par l'envoi de photocopies, à : - Me Michel Dupuis (pour Z.________), - M. Philippe Chiocchetti (pour A. et B.H.________).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