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JM13.049843 vom 17. März 2014</w:t>
      </w:r>
    </w:p>
    <w:p>
      <w:r>
        <w:t>VD Tribunal cantonal, 2014-03-17, FR</w:t>
      </w:r>
    </w:p>
    <w:p>
      <w:r>
        <w:rPr>
          <w:b/>
        </w:rPr>
        <w:t xml:space="preserve">Quelle: </w:t>
      </w:r>
      <w:r>
        <w:t>https://mcp.opencaselaw.ch/entscheid/vd_gerichte_JM13.049843</w:t>
      </w:r>
    </w:p>
    <w:p>
      <w:r>
        <w:t>FR: VD_GERICHTE JM13.049843 du 17 mars 2014</w:t>
      </w:r>
    </w:p>
    <w:p>
      <w:r>
        <w:t>IT: VD_GERICHTE JM13.049843 del 17 marzo 2014</w:t>
      </w:r>
    </w:p>
    <w:p>
      <w:pPr>
        <w:pStyle w:val="Heading2"/>
      </w:pPr>
      <w:r>
        <w:t>Erwägungen</w:t>
      </w:r>
    </w:p>
    <w:p>
      <w:r>
        <w:rPr>
          <w:b/>
        </w:rPr>
        <w:t>E. 4</w:t>
      </w:r>
    </w:p>
    <w:p>
      <w:r>
        <w:t>En conclusion, le recours doit être admis et la décision annulée, la cause étant renvoyée au premier juge pour suivre à la procédure d’exécution forcée. Vu l’issue du litige, les frais judiciaires de deuxième instance, arrêtés à 300 fr. (art. 71 al. 1 TFJC), doivent être mis à la charge de l’intimée (art. 106 al. 1 CPC). L’intimée versera ainsi au recourant la somme de 300 fr. à titre de restitution de l’avance de frais fournie par ce dernier (art. 111 al. 2 CPC). La charge des dépens est évaluée à 1'000 fr. pour chaque partie, de sorte que, compte tenu de ce que les frais – comprenant les frais judiciaires et les dépens (art. 95 al. 1 CPC) – doivent être mis à la charge de l’intimée, celle-ci versera au recourant la somme de 1’000 fr. à titre de dépens. Par ces motifs, la Chambre des recours civile du Tribunal cantonal, statuant à huis clos, prononce : I. Le recours est admis. II. La décision est annulée et la cause est renvoyée à la Juge de paix du district de Morges pour suivre à la procédure d’exécution forcée.</w:t>
      </w:r>
    </w:p>
    <w:p>
      <w:r>
        <w:t>- 8 - III. Les frais judiciaires de deuxième instance, arrêtés à 300 fr. (trois cents francs), sont mis à la charge de l’intimée. IV. L’intimée B.Y.________, doit verser au recourant A.Y.________ la somme de 1'300 fr. (mille trois cents francs) à titre de dépens et de restitution d’avance de frais de deuxième instance. V. L’arrêt motivé est exécutoire. Le président : Le greffier : Du 18 mars 2014 Le dispositif de l'arrêt qui précède est communiqué par écrit aux intéressés. Le greffier : Du L'arrêt qui précède, dont la rédaction a été approuvée à huis clos, est notifié en expédition complète, par l'envoi de photocopies, à : - Me Jean-Yves Schmidhauser (pour A.Y.________), - Me Gloria Capt (pour B.Y.________). La Chambre des recours civile considère que la valeur litigieuse est supérieure à 30'000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