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JL26.005983 vom 24. April 2026</w:t>
      </w:r>
    </w:p>
    <w:p>
      <w:r>
        <w:t>VD Tribunal cantonal, 2026-04-24, FR</w:t>
      </w:r>
    </w:p>
    <w:p>
      <w:r>
        <w:rPr>
          <w:b/>
        </w:rPr>
        <w:t xml:space="preserve">Quelle: </w:t>
      </w:r>
      <w:r>
        <w:t>https://mcp.opencaselaw.ch/entscheid/vd_gerichte_JL26.005983</w:t>
      </w:r>
    </w:p>
    <w:p>
      <w:r>
        <w:t>FR: VD_GERICHTE JL26.005983 du 24 avril 2026</w:t>
      </w:r>
    </w:p>
    <w:p>
      <w:r>
        <w:t>IT: VD_GERICHTE JL26.005983 del 24 aprile 2026</w:t>
      </w:r>
    </w:p>
    <w:p>
      <w:pPr>
        <w:pStyle w:val="Heading2"/>
      </w:pPr>
      <w:r>
        <w:t>Erwägungen</w:t>
      </w:r>
    </w:p>
    <w:p>
      <w:r>
        <w:rPr>
          <w:b/>
        </w:rPr>
        <w:t>E. 1</w:t>
      </w:r>
    </w:p>
    <w:p>
      <w:r>
        <w:t>Par ordonnance d’expulsion du 23 mars 2026, le Juge de paix du district de Lausanne (ci-après : le juge de paix ou le premier juge) a ordonné à B.________ de quitter et rendre libres pour le 21 avril 2026 à midi les locaux occupés dans l’immeuble sis à Q***, A*** (appartement de</w:t>
      </w:r>
    </w:p>
    <w:p>
      <w:r>
        <w:rPr>
          <w:b/>
        </w:rPr>
        <w:t>E. 3</w:t>
      </w:r>
    </w:p>
    <w:p>
      <w:r>
        <w:t>pièces n° *** au *** étage, une cave et un garage n° *** au rez)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480 fr. les frais judiciaires et les a mis à la charge de la partie locataire (IV et V), a dit qu’en conséquence B.________ verserait à C.________ AG la somme de 1'000 fr. à titre de dépens, en défraiement de son représentant professionnel (VI) et a rejeté toutes autres ou plus amples conclusions (VII). En droit, le juge de paix, saisi par C.________ AG, bailleresse, d’une requête en cas clair tendant à l’expulsion de B.________, locataire, a retenu que celle-ci ne s’était pas acquittée de l’arriéré de 3'950 fr., correspondant aux loyers de juillet et août 2025, dans le délai comminatoire qui lui avait été imparti. Le magistrat a ainsi considéré que le congé, signifié à la locataire le 29 septembre 2025 pour le 31 octobre 2025, était valable et que l’on était en présence d’un cas clair au sens de l’art. 257 CPC (Code de procédure civile du 19 décembre 2008 ; RS 272). 2. Par acte du 8 avril 2026, B.________ (ci-après : l’appelante) a fait appel de cette ordonnance en concluant, en substance, au report de son expulsion. A l’appui de son appel, elle invoque des difficultés financières et personnelles. Elle se trouverait actuellement en détention provisoire. Son fils occuperait seul l’appartement et n’aurait aucune possibilité de le libérer pour le 21 avril 2026. Elle requiert ainsi une prolongation du délai 19J050</w:t>
      </w:r>
    </w:p>
    <w:p>
      <w:r>
        <w:t>- 3 - d’expulsion jusqu’à sa sortie de prison, subsidiairement jusqu’à ce qu’elle ait retrouvé un nouveau logement. C.________ AG (ci-après : l’intimée) n’a pas été invitée à se déterminer sur l’appel.</w:t>
      </w:r>
    </w:p>
    <w:p>
      <w:r>
        <w:rPr>
          <w:b/>
        </w:rPr>
        <w:t>E. 3.1.1</w:t>
      </w:r>
    </w:p>
    <w:p>
      <w:r>
        <w:t>L’appel est ouvert contre les décisions finales de première instance pour autant que la valeur litigieuse, au dernier état des conclusions devant l’autorité inférieure, soit de 10'000 fr. au moins (art. 308 al. 1 let. a et al. 2 CPC).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III 235 ; TF 4A_307/2024 du 6 août 2024 consid. 1.1 et les réf. citées). Lorsque la décision entreprise a été rendue en procédure sommaire, comme c'est le cas dans la procédure en cas clair (art. 248 let. b CPC), le délai d'appel est de dix jours (art. 314 al. 1 CPC).</w:t>
      </w:r>
    </w:p>
    <w:p>
      <w:r>
        <w:rPr>
          <w:b/>
        </w:rPr>
        <w:t>E. 3.1.2</w:t>
      </w:r>
    </w:p>
    <w:p>
      <w:r>
        <w:t>Le tribunal n’entre en matière que sur les demandes et les requêtes qui satisfont aux conditions de recevabilité de l’action (art. 59 al. 1 CPC). Le justiciable qui fait valoir une prétention doit démontrer qu'il a un intérêt digne de protection (art. 59 al. 2 let. a CPC), soit un intérêt personnel et actuel à voir le juge statuer sur ses conclusions (TF 4A_282/2021 du 29 novembre 2021 consid. 4.4 ; TF 5A_1035/2019 du 12 mars 2020 consid. 7.2). Comme toute condition de recevabilité, cet intérêt doit exister non seulement lors de la litispendance, mais également au 19J050</w:t>
      </w:r>
    </w:p>
    <w:p>
      <w:r>
        <w:t>- 4 - moment du jugement (TF 5A_1035/2019 précité consid. 7.2 ; TF 5A_2/2019 du 1er juillet 2019 consid. 3.2 et la réf. citée ; cf. ég. pour la procédure d'appel : TF 5A_9/2015 du 10 août 2015 consid. 4.3). Lorsqu'une demande en justice ne répond pas à un intérêt digne de protection de son auteur, elle est ainsi irrecevable (ATF 140 III 159 consid. 4.2.4).</w:t>
      </w:r>
    </w:p>
    <w:p>
      <w:r>
        <w:rPr>
          <w:b/>
        </w:rPr>
        <w:t>E. 3.1.3</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w:t>
      </w:r>
    </w:p>
    <w:p>
      <w:r>
        <w:rPr>
          <w:b/>
        </w:rPr>
        <w:t>E. 3.2.1</w:t>
      </w:r>
    </w:p>
    <w:p>
      <w:r>
        <w:t>En l’occurrence, l’acte a été formé en temps utile et la valeur litigieuse est supérieure à 10'000 fr., de sorte que la voie de l’appel est ouverte. Cela étant, l’appel doit être déclaré irrecevable, l’appelante ne contestant que le délai imparti pour quitter les locaux litigieux, de sorte que l’existence d’un intérêt juridique actuel à l’appel doit être niée (cf. art. 59 al. 1 et al. 2 let. a CPC). 19J050</w:t>
      </w:r>
    </w:p>
    <w:p>
      <w:r>
        <w:t>- 5 - En effet, l’appelante ne dispose pas d’un intérêt juridique actuel à l’appel en l’absence d’un avis d’exécution forcée – comme c’est le cas en l’occurrence –, le délai de départ fixé par le juge de paix ne constituant qu’un préalable à l’expulsion, encore dépourvu d’effet concret. L’expulsion effective des locaux loués n’interviendra qu’après l’échéance du délai de départ, si celui-ci est resté sans effet, et si la bailleresse demande l’exécution de l’ordonnance d’expulsion. Le cas échéant, dans le cadre de cette nouvelle procédure, l’appelante pourra encore faire valoir, auprès du juge de paix, les moyens de fond qui s’opposeraient à l’expulsion, tels que l’extinction de la prétention, la prescription, le report de l’exigibilité découlant du sursis accordé, l’absence de réalisation d’une condition suspensive ou des motifs humanitaires, par exemple (cf. art. 341 al. 3 CPC ; CACI 10 février 2026/97 ; CACI 26 janvier 2026/51 ; CACI 11 avril 2024/154 ; Jeandin, Commentaire romand, Code de procédure civile, 2e éd., Bâle 2019, n. 16 ad art. 341 CPC et la réf. citée, et n. 15a ad art. 343 CPC et la réf. citée). En conséquence, l’appel est irrecevable, dès lors qu’est seul contesté le délai de départ pour évacuer les lieux (cf. parmi d'autres : CACI 10 février 2026/97 ; CACI 26 janvier 2026/51).</w:t>
      </w:r>
    </w:p>
    <w:p>
      <w:r>
        <w:rPr>
          <w:b/>
        </w:rPr>
        <w:t>E. 3.2.2</w:t>
      </w:r>
    </w:p>
    <w:p>
      <w:r>
        <w:t>Au surplus, l’appel ne contient pas de grief contre la motivation de l’ordonnance, en particulier sur le principe de l’expulsion, l’arriéré et son montant, ni le fait qu’il n’ait pas été acquitté, ce qui entraine également l’irrecevabilité de l’appel. L’appelante se borne en effet à requérir un report de l’expulsion, en invoquant des difficultés tant financières que personnelles (situation familiale et détention provisoire). Or, 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 CACI 12 juin 2025/257). Ces motifs peuvent, le cas échéant, être pris en compte au stade de l’exécution forcée (CACI 12 juin 2025/257 ; CACI 28 février 2022/107). 19J050</w:t>
      </w:r>
    </w:p>
    <w:p>
      <w:r>
        <w:t>- 6 -</w:t>
      </w:r>
    </w:p>
    <w:p>
      <w:r>
        <w:rPr>
          <w:b/>
        </w:rPr>
        <w:t>E. 4.1</w:t>
      </w:r>
    </w:p>
    <w:p>
      <w:r>
        <w:t>En définitive, l’appel doit être déclaré irrecevable, en application de l’art. 312 al. 1 in fine CPC.</w:t>
      </w:r>
    </w:p>
    <w:p>
      <w:r>
        <w:rPr>
          <w:b/>
        </w:rPr>
        <w:t>E. 4.2</w:t>
      </w:r>
    </w:p>
    <w:p>
      <w:r>
        <w:t>Le terme de l’expulsion étant désormais échu, la cause sera renvoyée au juge de paix pour qu’il fixe à la locataire un nouveau délai pour libérer les locaux litigieux.</w:t>
      </w:r>
    </w:p>
    <w:p>
      <w:r>
        <w:rPr>
          <w:b/>
        </w:rPr>
        <w:t>E. 4.3</w:t>
      </w:r>
    </w:p>
    <w:p>
      <w:r>
        <w:t>L’arrêt peut être rendu sans frais judiciaires de deuxième instance (art.11 TFJC [tarif des frais judiciaires civils du 28 septembre 2010 ; BLV 270.11.5]). L’intimée n'a pas été invitée à procéder. Partant,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