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JL25.048663 vom 25. Februar 2026</w:t>
      </w:r>
    </w:p>
    <w:p>
      <w:r>
        <w:t>VD Tribunal cantonal, 2026-02-25, FR</w:t>
      </w:r>
    </w:p>
    <w:p>
      <w:r>
        <w:rPr>
          <w:b/>
        </w:rPr>
        <w:t xml:space="preserve">Quelle: </w:t>
      </w:r>
      <w:r>
        <w:t>https://mcp.opencaselaw.ch/entscheid/vd_gerichte_JL25.048663</w:t>
      </w:r>
    </w:p>
    <w:p>
      <w:r>
        <w:t>FR: VD_GERICHTE JL25.048663 du 25 février 2026</w:t>
      </w:r>
    </w:p>
    <w:p>
      <w:r>
        <w:t>IT: VD_GERICHTE JL25.048663 del 25 febbraio 2026</w:t>
      </w:r>
    </w:p>
    <w:p>
      <w:pPr>
        <w:pStyle w:val="Heading2"/>
      </w:pPr>
      <w:r>
        <w:t>Erwägungen</w:t>
      </w:r>
    </w:p>
    <w:p>
      <w:r>
        <w:rPr>
          <w:b/>
        </w:rPr>
        <w:t>E. 1</w:t>
      </w:r>
    </w:p>
    <w:p>
      <w:r>
        <w:t>Le 24 juillet 2023, A.________ et B.________ (ci-après : les appelants), en qualité de locataires, et C.________ (ci-après : l’intimée), en qualité de bailleresse, ont conclu un contrat de bail à loyer portant sur un appartement de 4,5 pièces, une place de parc intérieure n° 8 et une cave n° 4, sis U*** 9, à [....] Q***.</w:t>
      </w:r>
    </w:p>
    <w:p>
      <w:r>
        <w:rPr>
          <w:b/>
        </w:rPr>
        <w:t>E. 2</w:t>
      </w:r>
    </w:p>
    <w:p>
      <w:r>
        <w:t>Le 27 novembre 2024, l’intimée a résilié le contrat de bail susmentionné avec effet au 31 janvier 2025.</w:t>
      </w:r>
    </w:p>
    <w:p>
      <w:r>
        <w:rPr>
          <w:b/>
        </w:rPr>
        <w:t>E. 3</w:t>
      </w:r>
    </w:p>
    <w:p>
      <w:r>
        <w:t>Cette résiliation a été contestée par les appelants.</w:t>
      </w:r>
    </w:p>
    <w:p>
      <w:r>
        <w:rPr>
          <w:b/>
        </w:rPr>
        <w:t>E. 4</w:t>
      </w:r>
    </w:p>
    <w:p>
      <w:r>
        <w:t>Les parties ont signé le 23 janvier 2025 une convention devant la Commission de conciliation en matière de baux à loyer du district de la Riviera-Pays-d’Enhaut, prévoyant notamment que le congé était accepté par les locataires, et qu’une prolongation de bail unique et définitive au 31 juillet 2025 était accordée à ces derniers, les intéressés s’engageant à quitter leur logement au plus tard à cette même date, libre de toute personne et de tout objet.</w:t>
      </w:r>
    </w:p>
    <w:p>
      <w:r>
        <w:rPr>
          <w:b/>
        </w:rPr>
        <w:t>E. 4.1</w:t>
      </w:r>
    </w:p>
    <w:p>
      <w:r>
        <w:t>et réf. cit.).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précité consid. 4.1).</w:t>
      </w:r>
    </w:p>
    <w:p>
      <w:r>
        <w:rPr>
          <w:b/>
        </w:rPr>
        <w:t>E. 5</w:t>
      </w:r>
    </w:p>
    <w:p>
      <w:r>
        <w:t>Le 30 septembre 2025, l’intimée a déposé une requête auprès du Juge de paix du district de la Riviera-Pays-d’Enhaut (ci-après : le juge de paix ou le premier juge), tendant à expulser les appelants des locaux occupés dans l’immeuble en question.</w:t>
      </w:r>
    </w:p>
    <w:p>
      <w:r>
        <w:rPr>
          <w:b/>
        </w:rPr>
        <w:t>E. 6</w:t>
      </w:r>
    </w:p>
    <w:p>
      <w:r>
        <w:t>Le premier juge a tenu une audience le 21 janvier 2026 en la présence, pour l’appelante, de sa curatrice E.________ et, pour l’intimée, de son conseil Me Luc Gervasoni.</w:t>
      </w:r>
    </w:p>
    <w:p>
      <w:r>
        <w:rPr>
          <w:b/>
        </w:rPr>
        <w:t>E. 7</w:t>
      </w:r>
    </w:p>
    <w:p>
      <w:r>
        <w:t>Par ordonnance du 9 février 2026, le juge de paix a ordonné aux appelants de quitter et rendre libres pour le lundi 9 mars 2026 à midi les locaux occupés dans l’immeuble sis à [....] Q***, U*** 9 (appartement de 4,5 pièces lot n° 4 au 1er étage + une cave n° 4 et une place de parc intérieure 19J010</w:t>
      </w:r>
    </w:p>
    <w:p>
      <w:r>
        <w:t>- 3 - n° 8) (I), a dit qu’à défaut pour les parties locataires de quitter volontairement ces locaux, l’huissier de paix était chargé sous la responsabilité du juge de paix de procéder à l’exécution forcée de la décision d’expulsion sur requête de la partie bailleresse, avec au besoin l’ouverture forcée des locaux (II), a ordonné aux agents de la force publique de concourir à l’exécution forcée de la décision, s’ils en étaient requis par l’huissier de paix (III), a arrêté à 480 fr. les frais judiciaires (IV) et les a mis à la charge des parties locataires, solidairement entre elles (V), a dit qu’en conséquence les appelants verseraient à l’intimée la somme de 950 fr. à titre de dépens, en défraiement de son représentant professionnel (VI), et a dit que toutes autres ou plus amples conclusions étaient rejetées (VII). En substance, le premier juge a rappelé la teneur de la convention signée par les parties le 23 janvier 2025, la transaction ayant les effets d’une décision entrée en force. Le premier juge étant lié par cette décision, la validité du congé n’avait plus à être examinée, de sorte que l’on était en présence d’un cas clair au sens de l’art. 257 CPC (Code de procédure civile du 19 décembre 2008 ; RS 272).</w:t>
      </w:r>
    </w:p>
    <w:p>
      <w:r>
        <w:rPr>
          <w:b/>
        </w:rPr>
        <w:t>E. 8</w:t>
      </w:r>
    </w:p>
    <w:p>
      <w:r>
        <w:t>Par acte intitulé « recours », signé le 16 février 2026, parvenu le même jour au greffe de la Justice de paix du district de la Riviera-Pays- d’Enhaut et transmis le 17 février 2026 à la Cour de céans, les appelants ont conclu implicitement à l’annulation de l’ordonnance. Le 24 février 2026, les appelants ont déposé des déterminations ainsi que plusieurs pièces au greffe de la Justice de paix du district de la Riviera-Pays-d’Enhaut, transmises le 25 février 2026 à la Cour de céans. L’intimée n’a pas été invitée à se déterminer.</w:t>
      </w:r>
    </w:p>
    <w:p>
      <w:r>
        <w:rPr>
          <w:b/>
        </w:rPr>
        <w:t>E. 9.1.1</w:t>
      </w:r>
    </w:p>
    <w:p>
      <w:r>
        <w:t>L’appel est ouvert, dans les affaires patrimoniales, contre les décisions finales de première instance si la valeur litigieuse au dernier état des conclusions est de 10’000 fr. au moins (art. 308 al. 1 let. a et al. 2 CPC). 19J010</w:t>
      </w:r>
    </w:p>
    <w:p>
      <w:r>
        <w:t>- 4 -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CACI 15 mai 2024/211).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Conformément à l’art. 143 al. 1bis CPC, les actes remis dans les délais mais adressés par erreur à un tribunal suisse incompétent sont réputés remis en temps utile.</w:t>
      </w:r>
    </w:p>
    <w:p>
      <w:r>
        <w:rPr>
          <w:b/>
        </w:rPr>
        <w:t>E. 9.1.2</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19J010</w:t>
      </w:r>
    </w:p>
    <w:p>
      <w:r>
        <w:t>- 5 - défaut, son recours est irrecevable (ATF 147 III 176 consid. 4.2.1, RSPC 2021 252 ; ATF 141 III 569 consid. 2.3.3 ; TF 4A_463/2023 du 24 avril 2024 consid.</w:t>
      </w:r>
    </w:p>
    <w:p>
      <w:r>
        <w:rPr>
          <w:b/>
        </w:rPr>
        <w:t>E. 9.2</w:t>
      </w:r>
    </w:p>
    <w:p>
      <w:r>
        <w:t>En l’espèce, les appelants contestent l’expulsion prononcée et non la validité du congé en tant que telle, de sorte que la valeur litigieuse est de 10’200 fr. (6 mois x 1'700 fr.). La voie de l’appel est dès lors ouverte. L’intitulé erroné de « recours » dudit acte est sans conséquence au vu de ce qui suit. Par souci de simplification et de clarification, il sera qualifié d’« appel » dans le présent arrêt. Déposé en temps utile contre une décision finale par des parties disposant d’un intérêt digne de protection (art. 59 al. 2 let. a CPC), l’appel est recevable sous cet angle. Toutefois, l’appel ne satisfait en revanche pas les exigences de motivation (art. 311 al. 1 CPC). En effet, les appelants ne s’en prennent pas à l’appréciation du premier juge mais plaident une situation personnelle très difficile – qu’ils imputent tour à tour à la curatrice, au médecin, à l’Assurance-Invalidité et à Me F.________ – ce qui ne peut pas être pris en compte au stade de l’examen de leur obligation de restituer l’objet loué. Au vu de ce qui précède, l’appel ne satisfait pas aux conditions minimales de recevabilité, sa motivation étant insuffisante, ce qui constitue un vice irréparable.</w:t>
      </w:r>
    </w:p>
    <w:p>
      <w:r>
        <w:rPr>
          <w:b/>
        </w:rPr>
        <w:t>E. 10.1</w:t>
      </w:r>
    </w:p>
    <w:p>
      <w:r>
        <w:t>En définitive, l’appel doit être déclaré irrecevable selon le mode procédural de l’art. 312 al. 1 in fine CPC. 19J010</w:t>
      </w:r>
    </w:p>
    <w:p>
      <w:r>
        <w:t>- 6 -</w:t>
      </w:r>
    </w:p>
    <w:p>
      <w:r>
        <w:rPr>
          <w:b/>
        </w:rPr>
        <w:t>E. 10.2</w:t>
      </w:r>
    </w:p>
    <w:p>
      <w:r>
        <w:t>L’arrêt est rendu sans frais judiciaires de deuxième instance, aucune avance n’ayant été demandée (art. 11 TFJC [tarif des frais judiciaires civils du 28 septembre 2010 ; BLV 270.11.5]).</w:t>
      </w:r>
    </w:p>
    <w:p>
      <w:r>
        <w:rPr>
          <w:b/>
        </w:rPr>
        <w:t>E. 10.3</w:t>
      </w:r>
    </w:p>
    <w:p>
      <w:r>
        <w:t>Au demeurant,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