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JL25.041073 vom 19. Dezember 2025</w:t>
      </w:r>
    </w:p>
    <w:p>
      <w:r>
        <w:t>VD Tribunal cantonal, 2025-12-19, FR</w:t>
      </w:r>
    </w:p>
    <w:p>
      <w:r>
        <w:rPr>
          <w:b/>
        </w:rPr>
        <w:t xml:space="preserve">Quelle: </w:t>
      </w:r>
      <w:r>
        <w:t>https://mcp.opencaselaw.ch/entscheid/vd_gerichte_JL25.041073</w:t>
      </w:r>
    </w:p>
    <w:p>
      <w:r>
        <w:t>FR: VD_GERICHTE JL25.041073 du 19 décembre 2025</w:t>
      </w:r>
    </w:p>
    <w:p>
      <w:r>
        <w:t>IT: VD_GERICHTE JL25.041073 del 19 dicembre 2025</w:t>
      </w:r>
    </w:p>
    <w:p>
      <w:pPr>
        <w:pStyle w:val="Heading2"/>
      </w:pPr>
      <w:r>
        <w:t>Erwägungen</w:t>
      </w:r>
    </w:p>
    <w:p>
      <w:r>
        <w:rPr>
          <w:b/>
        </w:rPr>
        <w:t>E. 1</w:t>
      </w:r>
    </w:p>
    <w:p>
      <w:r>
        <w:t>Par contrat de bail à loyer du 12 août 2019, C.________ Sàrl a remis en location pour une durée indéterminée avec délai de résiliation de quatre mois, à D.________ et B.________, dès le 16 décembre 2019, un appartement sis à S***, R***, de 3,5 pièces au 2e étage et une cave. Les parties ont également signé le même jour un contrat de bail portant sur une place de parc.</w:t>
      </w:r>
    </w:p>
    <w:p>
      <w:r>
        <w:rPr>
          <w:b/>
        </w:rPr>
        <w:t>E. 1.1</w:t>
      </w:r>
    </w:p>
    <w:p>
      <w:r>
        <w:t>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trois ans (ATF 144 III 346 consid. 1.2.1 et 1.2.2.3).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w:t>
      </w:r>
    </w:p>
    <w:p>
      <w:r>
        <w:rPr>
          <w:b/>
        </w:rPr>
        <w:t>E. 1.2</w:t>
      </w:r>
    </w:p>
    <w:p>
      <w:r>
        <w:t>En l’espèce, la validité des résiliations est contestée et le loyer des locaux litigieux s’élève au total à 1'590 fr. par mois de sorte que la valeur litigieuse requise est atteinte. Déposé en temps utile, l’appel est recevable. 2.</w:t>
      </w:r>
    </w:p>
    <w:p>
      <w:r>
        <w:rPr>
          <w:b/>
        </w:rPr>
        <w:t>E. 2</w:t>
      </w:r>
    </w:p>
    <w:p>
      <w:r>
        <w:t>Pour réclamer le paiement de 3'180 fr. représentant les loyers dus au 1er mai 2025 pour les mois d’avril et mai 2025, la bailleresse a fait notifier, le 2 mai 2025, à chacun des locataires un courrier recommandé, renfermant aussi la signification qu'à défaut de paiement dans les trente jours, les baux seraient résiliés. Aucun paiement n'étant intervenu dans ce délai comminatoire, la bailleresse a signifié aux locataires, par avis du 26 juin 2025, qu'elle résiliait les baux pour le 31 juillet 2025.</w:t>
      </w:r>
    </w:p>
    <w:p>
      <w:r>
        <w:rPr>
          <w:b/>
        </w:rPr>
        <w:t>E. 2.1</w:t>
      </w:r>
    </w:p>
    <w:p>
      <w:r>
        <w:t>La nature particulière de la procédure sommaire pour cas clairs impose au juge d'appel d'évaluer les faits sur la base des preuves déjà appréciées par le premier juge saisi. La production de pièces nouvelles par le requérant est ainsi exclue, même celles qui sont visées par l'art. 317 al. 1 CPC (TF 4A_312/2013 du 17 octobre 2013 c. 3.2). Cette règle ne vaut toutefois pas pour le locataire expulsé en cas clair (TF 4A_420/2012 du 7 novembre 2012 c. 5, SJ 2013 1129 ; JdT 2021 III 95 ; CACI 3 mai 2019/244 ; CACI 22 avril 2015/187). L'art. 317 al. 1 CPC s'applique donc pleinement au 19J010</w:t>
      </w:r>
    </w:p>
    <w:p>
      <w:r>
        <w:t>- 5 - locataire qui a été attrait en première instance, par la requête en cas clair de la bailleresse (TF 4A_470/2022 du 4 janvier 2023 consid. 4.1).</w:t>
      </w:r>
    </w:p>
    <w:p>
      <w:r>
        <w:rPr>
          <w:b/>
        </w:rPr>
        <w:t>E. 2.2</w:t>
      </w:r>
    </w:p>
    <w:p>
      <w:r>
        <w:t>En l’occurrence, l'appelante produit en sus de la décision attaquée, le bail à loyer, la notification de résiliation de bail du 26 juin 2025, la requête du 25 août 2025 adressée à la première juge ainsi que des photographies des mises en demeure adressée à elle et à D.________ le 2 mai 2025. L'ensemble de ces pièces figure déjà au dossier de première instance, étant précisé toutefois que les photographies précitées comportent une différence avec les copies et originaux des pièces en possession de la Cour de céans, comme cela sera évoqué plus bas.</w:t>
      </w:r>
    </w:p>
    <w:p>
      <w:r>
        <w:rPr>
          <w:b/>
        </w:rPr>
        <w:t>E. 3</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w:t>
      </w:r>
    </w:p>
    <w:p>
      <w:r>
        <w:rPr>
          <w:b/>
        </w:rPr>
        <w:t>E. 4</w:t>
      </w:r>
    </w:p>
    <w:p>
      <w:r>
        <w:t>19J010</w:t>
      </w:r>
    </w:p>
    <w:p>
      <w:r>
        <w:t>- 6 -</w:t>
      </w:r>
    </w:p>
    <w:p>
      <w:r>
        <w:rPr>
          <w:b/>
        </w:rPr>
        <w:t>E. 4.1</w:t>
      </w:r>
    </w:p>
    <w:p>
      <w:r>
        <w:t>L'appelante ne fait valoir qu'un seul grief relatif à la procédure d'expulsion elle-même, soit le fait que les mises en demeure, correspondant aux avis comminatoires du 2 mai 2025, ne seraient pas signées et contreviendraient ainsi à la forme écrite obligatoire.</w:t>
      </w:r>
    </w:p>
    <w:p>
      <w:r>
        <w:rPr>
          <w:b/>
        </w:rPr>
        <w:t>E. 4.2.1</w:t>
      </w:r>
    </w:p>
    <w:p>
      <w:r>
        <w:t>Aux termes de l’art. 257 al. 1 et 3 CPC, relatif à la procédure de protection dans les cas clairs, le tribunal admet l’application de la procédure sommaire lorsque les conditions – cumulatives (TF 4A_195/2023 précité, consid. 3.2.2) – suivantes sont réalisées : (a) l’état de fait n’est pas litigieux ou est susceptible d’être immédiatement prouvé et (b) la situation juridique est claire (al. 1) ; le tribunal n’entre pas en matière sur la requête lorsque cette procédure ne peut pas être appliquée (al. 3). La procédure de protection dans les cas clairs prévue à l’art. 257 CPC permet d’obtenir rapidement une décision ayant l’autorité de la chose jugée et la force exécutoire lorsque la situation en fait et en droit n’est pas équivoque (ATF 138 III 620 consid. 5.1.1 et réf. cit., SJ 2013 I 283 ; TF 4A_195/2023 du 24 juillet 2023 consid. 3.2).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pas être écartées immédiatement et qui sont de nature à ébranler la conviction du juge, la procédure du cas clair est irrecevable (ATF 144 III 462 ; ATF 141 III 23 consid. 3.2 ; TF 4A_69/2025 du 18 mars 2025 consid. 4 ; TF 4A_394/2024 du 18 septembre 2024 consid. 5.1). La situation juridique est quant à elle claire lorsque l’application de la norme au cas concret s’impose de façon évidente au regard du texte légal ou sur la base d’une doctrine et d’une jurisprudence éprouvées (ATF 19J010</w:t>
      </w:r>
    </w:p>
    <w:p>
      <w:r>
        <w:t>- 7 - 144 III 462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 ATF 141 III 23, loc. cit. ; TF 4A_69/2025, loc. cit. ; TF 4A_305/2024 du 11 juin 2024 consid. 4.1). Si le juge parvient à la conclusion que les conditions cumulatives posées par l’art. 257 CPC sont réalisées, le demandeur obtient gain de cause par une décision ayant l’autorité de la chose jugée et la force exécutoire (ATF 138 III 620 consid. 5.1.1). Si elles ne sont pas remplies et que le demandeur ne peut donc pas obtenir gain de cause, le juge ne peut que prononcer l’irrecevabilité de la demande. Il est en effet exclu que la procédure puisse aboutir au rejet de la prétention du demandeur avec autorité de la chose jugée (ATF 144 III 462 ; ATF 140 III 315 consid. 5 ; TF 4A_307/2024 du 6 août 2024 consid. 3.1.3).</w:t>
      </w:r>
    </w:p>
    <w:p>
      <w:r>
        <w:rPr>
          <w:b/>
        </w:rPr>
        <w:t>E. 4.2.2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L'avis comminatoire de l'art. 257d al. 1 CO est subordonné à l'exigence de la forme écrite, sous peine de nullité (Wessner, Commentaire pratique, Droit du bail à loyer, 2010, n. 16 ad art. 257d CO ; Higi, ZurcherKommentar, 1994, n. 35 ad art. 257d CO). Il doit ainsi respecter le prescrit des art. 12 à 15 CO, en particulier s'agissant des exigences relatives à la signature (Bisang et al., SVIT-Kommentar, 2008, n. 24 ad art. 257d CO). Le délai comminatoire et le congé doivent être signifiés par écrit. Ils doivent donc être signés de la main du bailleur ou de son représentant 19J010</w:t>
      </w:r>
    </w:p>
    <w:p>
      <w:r>
        <w:t>- 8 - (art. 14 al. 1 CO). La commination et la résiliation qui ne respectent pas cette règle de forme sont nulles (art. 266o CO). Sauf abus de droit, cette nullité peut être invoquée en tout temps (CACI 23 janvier 2025/41 consid. 3.2.2 ; CACI 23 février 2012/91 ; CACI 2 août 2012/347).</w:t>
      </w:r>
    </w:p>
    <w:p>
      <w:r>
        <w:rPr>
          <w:b/>
        </w:rPr>
        <w:t>E. 4.2.3</w:t>
      </w:r>
    </w:p>
    <w:p>
      <w:r>
        <w:t>En l'espèce, l’appelante soutient que les avis comminatoires ne seraient pas signés et, ainsi, invalides. Elle se prévaut à ce titre implicitement des photographies desdits avis joints à son écriture d'appel. Il ressort en effet de ces photographies que les avis ne seraient pas signés. Cela étant, ces pièces ne disposent d'aucune valeur probante et sont au demeurant contredites par celles figurant au dossier de la cause. Quant à la valeur des photographies, force est de constater qu'on ne sait pas dans quelles conditions celles-ci ont été effectuées et de quels exemplaires elles sont la reproduction. Il est cependant envisageable qu'il s'agisse de prises de vue des copies figurant au dossier sur lesquelles les signatures – visibles – ressortent peu, si bien qu'elles pourraient ne pas apparaître dans une photographie. Par ailleurs, il pourrait s'agir de photographies de copies non signées, sans que l'on en connaisse la provenance. Il n'en demeure pas moins que les exemplaires – copies et originaux adressés sous pli recommandé aux locataires, mais non retirés – figurant au dossier de première instance comportent clairement des signatures. Il ne fait dès lors aucun doute que la forme écrite a été respectée. Le moyen de l’appelante est ainsi infondé.</w:t>
      </w:r>
    </w:p>
    <w:p>
      <w:r>
        <w:rPr>
          <w:b/>
        </w:rPr>
        <w:t>E. 4.3.1</w:t>
      </w:r>
    </w:p>
    <w:p>
      <w:r>
        <w:t>Des circonstances d'ordre humanitaire n'entrent pas en ligne de compte dans l'examen des conditions de l'art. 257d CO, dès lors qu'elles ne sont pas prises en considération par les règles de droit fédéral sur le bail à loyer (TF du 27 février 1997 précité in CdB 3/97 p. 65 consid. 2b ; TF 4A_252/2014 du 28 mai 2014 consid. 4.2 ; TF 4C_74/2006 du 12 mai 2006 19J010</w:t>
      </w:r>
    </w:p>
    <w:p>
      <w:r>
        <w:t>- 9 - consid. 3.2.1 ; Lachat et al., Le bail à loyer, Lausanne 2019, note infrapaginale 117 p. 820). Elles peuvent cependant être prises en compte au stade de l'exécution forcée, en application du principe général de la proportionnalité. Toutefois, dans tous les cas, l'ajournement de l'exécution forcée ne saurait être que relativement bref et ne doit pas équivaloir de fait à une nouvelle prolongation de bail (ATF 117 la 336 consid. 2b).</w:t>
      </w:r>
    </w:p>
    <w:p>
      <w:r>
        <w:rPr>
          <w:b/>
        </w:rPr>
        <w:t>E. 4.3.2</w:t>
      </w:r>
    </w:p>
    <w:p>
      <w:r>
        <w:t>Dans son écriture, l’appelante expose qu'elle vit dans l'appartement objet du bail seule avec ses quatre enfants et qu'elle a eu des difficultés à payer les loyers en raison de problèmes dans le paiement de la pension alimentaire des enfants dues par son ex-compagnon. On ne discerne pas réellement un grief dans ces explications. Cela étant, si l’appelante devait faire valoir un motif d'ordre humanitaire, celui-ci serait irrecevable au stade de la présente procédure d'expulsion.</w:t>
      </w:r>
    </w:p>
    <w:p>
      <w:r>
        <w:rPr>
          <w:b/>
        </w:rPr>
        <w:t>E. 5</w:t>
      </w:r>
    </w:p>
    <w:p>
      <w:r>
        <w:t>Au vu de ce qui précède, l'appel, manifestement infondé, doit être rejeté en application de l'art. 312 al. 1 in fine CPC et l'ordonnance d'expulsion confirmée. La requête d'assistance judiciaire doit être rejetée, l'appel étant dénué de chance de succès. Vu l'effet suspensif lié à l'appel (cf. art. 315 al. 1 CPC) et compte tenu du fait que le terme de l'expulsion – initialement arrêté au 1er décembre 2025 – est désormais échu, la cause sera renvoyée à la juge de paix afin qu'elle fixe un nouveau délai à l’appelante pour libérer les locaux litigieux. Les frais judiciaires de deuxième instance, arrêtés à 631 fr. (art. 62 al. 1 et al. 3 TFJC [tarif des frais judiciaires civils du 28 septembre 2010 ; BLV 270.11.5]), sont mis à la charge de l’appelante, qui succombe (art. 106 al. 1 CPC). Il n'y a pas lieu à l'allocation de dépens de deuxième instance, l’intimée n'ayant pas été invitée à se déterminer sur l'appel. 19J010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