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JL24.047165 vom 7. April 2025</w:t>
      </w:r>
    </w:p>
    <w:p>
      <w:r>
        <w:t>VD Tribunal cantonal, 2025-04-07, FR</w:t>
      </w:r>
    </w:p>
    <w:p>
      <w:r>
        <w:rPr>
          <w:b/>
        </w:rPr>
        <w:t xml:space="preserve">Quelle: </w:t>
      </w:r>
      <w:r>
        <w:t>https://mcp.opencaselaw.ch/entscheid/vd_gerichte_JL24.047165</w:t>
      </w:r>
    </w:p>
    <w:p>
      <w:r>
        <w:t>FR: VD_GERICHTE JL24.047165 du 7 avril 2025</w:t>
      </w:r>
    </w:p>
    <w:p>
      <w:r>
        <w:t>IT: VD_GERICHTE JL24.047165 del 7 aprile 2025</w:t>
      </w:r>
    </w:p>
    <w:p>
      <w:pPr>
        <w:pStyle w:val="Heading2"/>
      </w:pPr>
      <w:r>
        <w:t>Erwägungen</w:t>
      </w:r>
    </w:p>
    <w:p>
      <w:r>
        <w:rPr>
          <w:b/>
        </w:rPr>
        <w:t>E. 1.1</w:t>
      </w:r>
    </w:p>
    <w:p>
      <w:r>
        <w:t>Aux termes de l’art. 319 let. a CPC,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Le recours doit être interjeté dans les dix jours lorsque le litige est soumis à la procédure sommaire (art. 321 al. 2 CPC) – soit notamment en matière de cas clairs (cf. art. 248 let. b CPC) – auprès de l’autorité de deuxième instance compétente, soit la Chambre des recours civile (art. 73 al. 1 LOJV [loi d’organisation judiciaire du 12 décembre 1979 ; BLV 173.01]).</w:t>
      </w:r>
    </w:p>
    <w:p>
      <w:r>
        <w:rPr>
          <w:b/>
        </w:rPr>
        <w:t>E. 1.2</w:t>
      </w:r>
    </w:p>
    <w:p>
      <w:r>
        <w:t>En l’espèce, le litige porte sur l’expulsion et non sur la validité du congé en tant que telle (cf. art. 273 al. 1 CO). Au vu des loyers bruts des locaux concernés, la valeur litigieuse s’élève à 7’620 fr. (1’270 fr. x 6 mois), de sorte que seule la voie du recours est ouverte contre l’ordonnance d’expulsion en cause. Déposé en temps utile par une partie locataire qui a un intérêt digne de protection (art. 59 al. 2 let. a CPC), le recours est recevable.</w:t>
      </w:r>
    </w:p>
    <w:p>
      <w:r>
        <w:rPr>
          <w:b/>
        </w:rPr>
        <w:t>E. 1.3</w:t>
      </w:r>
    </w:p>
    <w:p>
      <w:r>
        <w:t>Le certificat médical produit pour la première fois en deuxième instance n’est pas recevable, au vu de l’art. 326 al. 1 CPC qui prohibe la</w:t>
      </w:r>
    </w:p>
    <w:p>
      <w:r>
        <w:t>- 4 - recevabilité des conclusions, allégations de fait et preuves nouvelles en procédure de recours.</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144 I 113 consid. 7.1).</w:t>
      </w:r>
    </w:p>
    <w:p>
      <w:r>
        <w:rPr>
          <w:b/>
        </w:rPr>
        <w:t>E. 3.1</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 ce délai doit être d’au moins trente jours pour les baux d’habitation ou de locaux commerciaux (al. 1). A défaut de paiement dans le délai fixé, le bailleur peut résilier le contrat avec effet immédiat ; les baux d’habitation ou de locaux commerciaux peuvent être résiliés avec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w:t>
      </w:r>
    </w:p>
    <w:p>
      <w:r>
        <w:t>- 5 - l’arriéré avait finalement été payé (TF 4A_195/2023 du 24 juillet 2023 consid. 3.1 ; TF 4A_436/2018 du 17 janvier 2019 consid. 5.1 et les références citées). La résiliation provoque l'expiration du bail et celle-ci fait naître, à la charge du locataire, l'obligation de restituer les choses louées conformément à l'art. 267 al. 1 CO (TF 4A_299/2011 du 7 juin 2011 consid. 7). Si en revanche l’une des conditions d’application de l’art. 257d CO n’est pas réalisée, le congé est inefficace (Lachat et alii, Le bail à loyer, Lausanne 2019, n. 2.3.5 p. 879). Des motifs humanitaires n’entrent pas en ligne de compte dans l’examen des conditions de l’art. 257d CO, dès lors qu’ils ne sont pas pris en considération par les règles du droit fédéral sur le bail à loyer (TF 4A_252/2014 du 28 mai 2014 consid. 4.2 ; TF 4C_74/2006 du 12 mai 2006 consid. 3.2.1). Une prolongation du bail est exclue de par la loi (art. 272a al. 1 let. a CO). Les motifs humanitaires peuvent, le cas échéant, être pris en compte au stade de l’exécution forcée, en application du principe général de la proportionnalité (CACI 29 novembre 2022/586 ; CACI 28 février 2022/107 ; Lachat, op. cit., n. 7.6 p. 1052). Le sursis pour raisons humanitaires ne saurait être que relativement bref ; il ne doit pas équivaloir en fait à une nouvelle prolongation de bail (ATF 117 la 336 consid. 2b). Un délai d'un mois pour l'exécution forcée a été jugé admissible tant sous l'ancien droit que le nouveau droit (CREC 4 janvier 2023/1 consid. 3.2.3 ; CREC 30 novembre 2021/327 consid. 3.2.2 ; CREC 29 juin 2020/153 consid. 3.1 ; Guignard, Procédures spéciales vaudoises, Lausanne 2008, n. 3 ad art. 21 aLPEBL [loi sur la procédure d'expulsion en matière de baux à loyer et à ferme du 18 mai 1955, abrogée au 1er janvier 2011], p. 203 et les réf. cit.). Un délai de trois semaines a également été jugé admissible (CREC 26 juin 2024/164 consid. 9.1 ; CREC 10 juin 2021/169 consid. 3.2).</w:t>
      </w:r>
    </w:p>
    <w:p>
      <w:r>
        <w:rPr>
          <w:b/>
        </w:rPr>
        <w:t>E. 3.2</w:t>
      </w:r>
    </w:p>
    <w:p>
      <w:r>
        <w:t>En l’espèce, le recourant ne remet pas en cause la motivation de l’ordonnance attaquée selon laquelle les conditions justifiant un congé extraordinaire selon l’art. 257d CO étaient réalisées au moment de la résiliation du contrat de bail. Il demande uniquement une prolongation de</w:t>
      </w:r>
    </w:p>
    <w:p>
      <w:r>
        <w:t>- 6 - six mois en invoquant des problèmes de santé. Or ceux-ci ne peuvent pas s’opposer à l’expulsion du locataire. En effet, comme on l’a vu, lorsque le bail a été résilié pour non-paiement de loyer, aucune prolongation de bail ne peut être accordée. Le juge ne peut pas tenir compte notamment de la situation personnelle, familiale et financière du locataire ou la situation sur le marché du logement (cf. art. 272 al. 1 let. c et e CO). Du reste, les motifs humanitaires pourront être avancés au stade de la procédure d’exécution forcée à venir. L’attention du locataire est toutefois d’emblée attirée sur le fait que l'ajournement de l'exécution forcée ne peut atteindre le délai de six mois qu’il requiert. Force est de relever que depuis la notification de l’ordonnance d’expulsion jusqu’au jour de la notification du présent arrêt, le locataire aura bénéficié d’un délai d’au moins un mois, sans compter que le bail a été valablement résilié au 31 août 2024. Le principe de proportionnalité est d’ores et déjà respecté.</w:t>
      </w:r>
    </w:p>
    <w:p>
      <w:r>
        <w:rPr>
          <w:b/>
        </w:rPr>
        <w:t>E. 4</w:t>
      </w:r>
    </w:p>
    <w:p>
      <w:r>
        <w:t>En définitive, le recours, manifestement mal fondé, doit être rejeté (art. 322 al. 1 in fine CPC) et l’ordonnance entreprise confirmée. Le présent arrêt peut être rendu sans frais judiciaires de deuxième instance (cf. art. 10 et 11 TFJC [tarif des frais judiciaires civils du 28 septembre 2010; BLV 270.11.5]). Il n’y a pas lieu à l’allocation de dépens de deuxième instance dès lors que l’intimée n’a pas été invitée à procéder (art. 322 al. 1 in fine CPC). Par ces motifs, la Chambre des recours civile du Tribunal cantonal, prononce : I. Le recours est rejeté.</w:t>
      </w:r>
    </w:p>
    <w:p>
      <w:r>
        <w:t>- 7 - II. L’arrêt, rendu sans frais, est exécutoire. La présidente : La greffière: Du L'arrêt qui précède, dont la rédaction a été approuvée à huis clos, est notifié à : - M. F.________ - M. Jacques Lauber, agent d’affaires breveté (pour R.________)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w:t>
      </w:r>
    </w:p>
    <w:p>
      <w:r>
        <w:t>- 8 -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