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JL24.031211 vom 5. November 2024</w:t>
      </w:r>
    </w:p>
    <w:p>
      <w:r>
        <w:t>VD Tribunal cantonal, 2024-11-05, FR</w:t>
      </w:r>
    </w:p>
    <w:p>
      <w:r>
        <w:rPr>
          <w:b/>
        </w:rPr>
        <w:t xml:space="preserve">Quelle: </w:t>
      </w:r>
      <w:r>
        <w:t>https://mcp.opencaselaw.ch/entscheid/vd_gerichte_JL24.031211</w:t>
      </w:r>
    </w:p>
    <w:p>
      <w:r>
        <w:t>FR: VD_GERICHTE JL24.031211 du 5 novembre 2024</w:t>
      </w:r>
    </w:p>
    <w:p>
      <w:r>
        <w:t>IT: VD_GERICHTE JL24.031211 del 5 novembre 2024</w:t>
      </w:r>
    </w:p>
    <w:p>
      <w:pPr>
        <w:pStyle w:val="Heading2"/>
      </w:pPr>
      <w:r>
        <w:t>Erwägungen</w:t>
      </w:r>
    </w:p>
    <w:p>
      <w:r>
        <w:rPr>
          <w:b/>
        </w:rPr>
        <w:t>E. 7</w:t>
      </w:r>
    </w:p>
    <w:p>
      <w:r>
        <w:t>novembre 2012 consid. 5). L’art. 317 al. 1 CPC s’applique toutefois pleinement au locataire qui a été attrait en première instance, par la requête en cas clair du bailleur (cf. TF 4A_470/2022 précité consid. 4.1). 2.2.2 En l’espèce, les pièces produites par les appelants figuraient déjà au dossier de première instance. Elles sont donc recevables. 3. Les parties appelantes ne contestent pas en appel le fait qu’elles devaient payer la somme de 4'940 fr. à titre d’arriéré de loyers et qu’elles n’ont pas versé cette somme requise par avis comminatoires du 13 septembre 2023. En revanche, elles font valoir qu’elles n’auraient pas reçu de résiliations du bail valables et que l’intimée n’aurait pas apporté la preuve contraire. Dès lors que ces éléments n’auraient pas été retenus par la première juge, elles estiment, d’une part, que les exigences de clarté et d’absence d’état de fait litigieux ne seraient pas réalisées conformément à l’art. 257 CPC et, d’autre part, qu’en raison du manque de preuve des notifications de résiliations du bail, le congé serait inefficace.</w:t>
      </w:r>
    </w:p>
    <w:p>
      <w:r>
        <w:t>- 7 - 3.1 La recevabilité de la procédure de protection dans les cas clairs est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 voller Beweis ») des faits justifiant sa prétention ; la simple vraisemblance ne suffit pas. Si le défendeur soulève des objections et exceptions motivées et concluantes (« substanziiert und schlüssig ») qui ne peuvent être écartées immédiatement et qui sont de nature à ébranler la conviction du juge, la procédure du cas clair est irrecevable (ATF 144 III 462 consid. 3.1 ; ATF 141 III 23 consid. 3.2 ; ATF 138 III 620 consid. 5.1.1). Secondement, la situation juridique est claire lorsque l’application de la norme au cas concret s’impose de façon évidente au regard du texte légal ou sur la base d’une doctrine et d’une jurisprudence éprouvées (ATF 144 III 462 consid. 3.1 ; ATF 138 III 123 consid. 2.1.2). En règle générale (cf. toutefois TF 4A_185/2017 du 15 juin 2017 consid. 5.4 et les réf. citées), la situation juridique n’est pas claire si l’application d’une norme nécessite un certain pouvoir d’appréciation du juge ou si celui-ci doit rendre une décision fondée sur l’équité qui intègre les circonstances concrètes (ATF 144 III 462 consid. 3.1 ; ATF 141 III 23 consid. 3.2 ; ATF 138 III 123 consid. 2.1.2). 3.2 3.2.1 En cas de résiliation du bail pour défaut de paiement du loyer ou de frais accessoires échus (par quoi il faut entendre les acomptes provisionnels ou les montants forfaitaires convenus) au sens de l’art. 257d CO (Code des obligations du 30 mars 1911 ; RS 220), le bailleur peut requérir, par la procédure de protection dans les cas clairs de l’art. 257 CPC, aussi bien l’expulsion du locataire (art. 267 al. 1 CO) que le paiement</w:t>
      </w:r>
    </w:p>
    <w:p>
      <w:r>
        <w:t>- 8 - de créances pécuniaires (TF 4A_234/2022 du 21 novembre 2022 consid. 4).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 et al., Le bail à loyer, Lausanne 2019, n. 2.3.5 p. 879).</w:t>
      </w:r>
    </w:p>
    <w:p>
      <w:r>
        <w:t>- 9 - Le délai comminatoire commence à courir lorsque le locataire a effectivement reçu en ses mains la mise en demeure, mais au plus tard à l’échéance du délai de garde postale de sept jours (ATF 140 III 244 consid. 5.1 ; ATF 137 III 208 consid. 3.1.3, JdT 2012 II 108, SJ 2011 I 293 ; Lachat, op. cit., n. 2.2.4 p. 875 et les réf. citées ; Wessner, Droit du bail à loyer et à ferme, Commentaire pratique, 2e éd., Bâle 2017, n. 21 ad art. 257d CO et les réf. citées). Il incombe à la partie qui prétend que son obligation a été exécutée de prouver cette exécution, notamment par paiement (ATF 130 III 321 consid. 3.1, JdT 2005 I 618, SJ 2005 I 514 ; ATF 128 III 271 consid. 2a/aa, JdT 2003 1 606 ; TF 4A_195/2023 du 24 juillet 2023 consid. 3.2.4 ; TF 4A_376/2021 du 7 janvier 2022 consid. 4.2.1 consid. 3.2.4 ; CACI 4 août 2022/396). 3.2.2 En application de l’art. 266n CO, le congé donné par le bailleur ainsi que la fixation d’un délai de paiement assorti d’une menace de résiliation (art. 257d CO) doivent être communiqués séparément au locataire et à son conjoint ou à son partenaire enregistré. 3.3 En l’occurrence, il ressort du dossier de première instance que deux formulaires de résiliation de bail ont été adressés le 24 octobre 2023, le premier à l’appelant et le second à l’appelante. L’intimée a également produit au dossier de première instance des attestations de suivi postal pour chacune des résiliations. Celles-ci établissent que ces avis ont été distribués le 25 octobre 2023. Ainsi, il est établi à suffisance de droit que les parties appelantes ont bien reçu les résiliations litigieuses. Ces dernières n’invoquent d’ailleurs pas que cette réception ne serait pas de leur fait ou qu’une autre circonstance imposerait de s’écarter des faits ressortant des pièces du dossier. Il en résulte que leur grief, qui confine en réalité à la témérité, doit être écarté. Le même sort ne peut qu’être réservé à l’argument des parties appelantes quant au fait que la juge de paix n’aurait pas traité leur grief relatif aux résiliations dans l’ordonnance querellée, pour autant qu’il</w:t>
      </w:r>
    </w:p>
    <w:p>
      <w:r>
        <w:t>- 10 - s’agisse d’un grief autonome. En effet, elles n’établissent pas l’avoir réellement allégué. Surtout, elles ne développent aucun grief recevable en lien avec une violation de leur droit d’être entendues (cf. art. 53 CPC), qui aurait, dans tous les cas, été réparée en appel au vu du pouvoir de cognition de la Cour de céans. Au vu de ce qui précède, les parties appelantes n’ont pas payé l’arriéré de loyer requis dans le délai de trente jours imparti par les avis comminatoires du 13 septembre 2023. Les résiliations de bail, avec effet au 30 novembre 2023, leur ont été adressées en recommandé, séparément à chacune le 23 octobre 2023, et leur ont été distribuées le 25 octobre 2023, de sorte que les exigences de forme ont été respectées. Par conséquent, le congé donné par l’intimée est valable. 4. En définitive, l’appel, manifestement infondé, doit être rejeté en application de la procédure de l’art. 312 al. 1 in fine CPC et l’ordonnance entreprise confirmée. 4.1 Les frais judiciaires de deuxième instance, arrêtés à 200 fr. (art. 62 al. 3 et 69 al. 1 TFJC [tarif des frais judiciaires civils du 28 septembre 2010 ; BLV 270.11.5]), seront mis à la charge des parties appelantes, qui succombent (art. 106 al. 1 CPC). 4.2 L’intimée n’ayant pas été interpellée, il n’y a pas lieu de lui allouer de dépens de deuxième instance.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