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JL24.020687 vom 11. Juli 2024</w:t>
      </w:r>
    </w:p>
    <w:p>
      <w:r>
        <w:t>VD Tribunal cantonal, 2024-07-11, FR</w:t>
      </w:r>
    </w:p>
    <w:p>
      <w:r>
        <w:rPr>
          <w:b/>
        </w:rPr>
        <w:t xml:space="preserve">Quelle: </w:t>
      </w:r>
      <w:r>
        <w:t>https://mcp.opencaselaw.ch/entscheid/vd_gerichte_JL24.020687</w:t>
      </w:r>
    </w:p>
    <w:p>
      <w:r>
        <w:t>FR: VD_GERICHTE JL24.020687 du 11 juillet 2024</w:t>
      </w:r>
    </w:p>
    <w:p>
      <w:r>
        <w:t>IT: VD_GERICHTE JL24.020687 del 11 luglio 2024</w:t>
      </w:r>
    </w:p>
    <w:p>
      <w:pPr>
        <w:pStyle w:val="Heading2"/>
      </w:pPr>
      <w:r>
        <w:t>Erwägungen</w:t>
      </w:r>
    </w:p>
    <w:p>
      <w:r>
        <w:rPr>
          <w:b/>
        </w:rPr>
        <w:t>E. 1</w:t>
      </w:r>
    </w:p>
    <w:p>
      <w:r>
        <w:t>Par ordonnance d’expulsion du 27 juin 2024, la Juge de paix du district de Morges (ci-après : la juge de paix) a ordonné à B.________ et P.________, locataires, de quitter et rendre libres pour le vendredi 19 juillet 2024 à midi les locaux occupés dans l’immeuble sis [...] à [...] (appartement de 2,5 pièces au 1er étage), plus une cave, plus deux places de parc extérieures n° [...] et [...] sises [...] à [...] (I), a dit qu’à défaut pour les prénommés de quitter volontairement ces locaux, l’huissier de paix était chargé sous la responsabilité de la juge de paix de procéder à l’exécution forcée de la décision sur requête de Z.________, bailleresse, avec au besoin l’ouverture forcée des locaux (II), a ordonné aux agents de la force publique de concourir à l’exécution forcée de la décision, s’ils en étaient requis par l’huissier de paix (III), a compensé les frais judiciaires, arrêtés à 537 fr., avec l’avance de frais de la bailleresse et les a mis à la charge des locataires (IV et V), a dit qu’en conséquence B.________ et P.________ rembourseraient, solidairement entre eux, à Z.________ son avance de frais à concurrence de 537 fr. et lui verseraient en sus, solidairement entre eux, la somme de 550 fr. à titre de défraiement de son représentant professionnel (VI) et a rejeté toutes autres ou plus amples conclusions (VII).</w:t>
      </w:r>
    </w:p>
    <w:p>
      <w:r>
        <w:rPr>
          <w:b/>
        </w:rPr>
        <w:t>E. 1.2</w:t>
      </w:r>
    </w:p>
    <w:p>
      <w:r>
        <w:t>; TF 4A_274/2020 du 1er septembre 2020 consid. 6). Il suffit à cet égard que le sens dans lequel la modification de la décision attaquée est demandée résulte clairement de la motivation du recours, cas échéant mise en relation avec la décision attaquée (ATF 137 III 617 précité consid. 6.2 et les réf. citées ; TF 4A_462/2022 précité consid. 6.1 et les réf. citées).</w:t>
      </w:r>
    </w:p>
    <w:p>
      <w:r>
        <w:rPr>
          <w:b/>
        </w:rPr>
        <w:t>E. 2</w:t>
      </w:r>
    </w:p>
    <w:p>
      <w:r>
        <w:t>Par acte du 8 juillet 2024 déposé auprès de la juge de paix, B.________ (ci-après : le recourant) a interjeté recours contre l’ordonnance précitée.</w:t>
      </w:r>
    </w:p>
    <w:p>
      <w:r>
        <w:rPr>
          <w:b/>
        </w:rPr>
        <w:t>E. 3.1</w:t>
      </w:r>
    </w:p>
    <w:p>
      <w:r>
        <w:t>Aux termes de l'art. 319 let. a CPC (Code de procédure civile ; RS 272), le recours est recevable contre les décisions finales, incidentes et provisionnelles de première instance qui ne peuvent pas faire l'objet d'un appel. Dans les affaires patrimoniales, il en va notamment ainsi lorsque la</w:t>
      </w:r>
    </w:p>
    <w:p>
      <w:r>
        <w:t>- 3 - valeur litigieuse au dernier état des conclusions est inférieure à 10'000 fr. (art. 308 al. 2 CPC a contrario). Si, comme c’est le cas en l’espèce,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(TF 4A_565/2017 du 11 juillet 2018, consid. 1). Lorsque la décision entreprise a été rendue en procédure sommaire, comme c'est le cas dans la procédure en cas clairs (art. 248 let. b CPC), le délai de recours est de dix jours (art. 321 al. 2 CPC). Il doit être déposé auprès de la Chambre des recours civile, dont la compétence découle de l’art. 73 LOJV (Loi d’organisation judiciaire du 12 décembre 1979 ; BLV 173.01).</w:t>
      </w:r>
    </w:p>
    <w:p>
      <w:r>
        <w:rPr>
          <w:b/>
        </w:rPr>
        <w:t>E. 3.2.1</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En l'absence de motivation suffisante, le recours doit être déclaré irrecevable (TF 4A_101/2014 du 26 juin 2014 consid. 3.3 ; CREC 10</w:t>
      </w:r>
    </w:p>
    <w:p>
      <w:r>
        <w:t>- 4 -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w:t>
      </w:r>
    </w:p>
    <w:p>
      <w:r>
        <w:rPr>
          <w:b/>
        </w:rPr>
        <w:t>E. 3.2.2</w:t>
      </w:r>
    </w:p>
    <w:p>
      <w:r>
        <w:t>En outre, le recours doit contenir, sous peine d’irrecevabilité, des conclusions, en annulation ou au fond, soit ce que la partie veut que le tribunal lui alloue dans sa décision (parmi d’autres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17 juillet 2023/145 précité ; CREC 6 février 2023/24 précité ; Jeandin, Commentaire romand, Code de procédure civile, 2e éd., 2019, n. 5 ad art. 321 CPC). Dès lors, les conclusions doivent être rédigées d’une manière suffisamment précise pour pouvoir être reprises telles quelles dans le dispositif de la décision à rendre. Enfin, elles doivent être interprétées selon les règles de la bonne foi (ATF 136 V 131 consid.</w:t>
      </w:r>
    </w:p>
    <w:p>
      <w:r>
        <w:rPr>
          <w:b/>
        </w:rPr>
        <w:t>E. 3.3</w:t>
      </w:r>
    </w:p>
    <w:p>
      <w:r>
        <w:t>En l’espèce, le recours a été déposé en temps utile auprès de l’autorité précédente par une personne qui y a un intérêt (art. 59 al. 2 let. a CPC).</w:t>
      </w:r>
    </w:p>
    <w:p>
      <w:r>
        <w:t>- 5 - Sur le fond, le recourant se contente d’indiquer qu’il n’est pas d’accord avec l’ordonnance entreprise et, par conséquent, s’y oppose. Ce faisant, il ne fait valoir aucun moyen ou grief contre l’ordonnance d’expulsion rendue par la juge de paix. Le recours ne satisfait ainsi pas à l’exigence de motivation de l’art. 321 al. 1 CPC. Au surplus, il est dépourvu de toute conclusion. Partant, faute de conclusions et de motivation suffisantes, ce qui constitue un vice irréparable, il ne peut être entré en matière sur ce recours.</w:t>
      </w:r>
    </w:p>
    <w:p>
      <w:r>
        <w:rPr>
          <w:b/>
        </w:rPr>
        <w:t>E. 4.1</w:t>
      </w:r>
    </w:p>
    <w:p>
      <w:r>
        <w:t>Au vu de ce qui précède, le recours est irrecevable (art. 322 al. 1 in fine CPC).</w:t>
      </w:r>
    </w:p>
    <w:p>
      <w:r>
        <w:rPr>
          <w:b/>
        </w:rPr>
        <w:t>E. 4.2</w:t>
      </w:r>
    </w:p>
    <w:p>
      <w:r>
        <w:t>Il ne sera pas perçu de frais judiciaires de deuxième instance (art. 11 TFJC [tarif des frais judiciaires civils du 28 septembre 2010 ; BLV 270.11.5]).</w:t>
      </w:r>
    </w:p>
    <w:p>
      <w:r>
        <w:rPr>
          <w:b/>
        </w:rPr>
        <w:t>E. 4.3</w:t>
      </w:r>
    </w:p>
    <w:p>
      <w:r>
        <w:t>Enfin, il n’y a pas lieu d’allouer de dépens, l’intimée Z.________ n’ayant pas été invitée à se déterminer sur le recours (art. 322 al. 1 in fine CPC). Par ces motifs, la Chambre des recours civile du Tribunal cantonal, en application de l'art. 322 al. 1 CPC, prononce : I. Le recours est irrecevable. II. L’arrêt, rendu sans frais de deuxième instance, est exécutoire.</w:t>
      </w:r>
    </w:p>
    <w:p>
      <w:r>
        <w:t>- 6 - La présidente : La greffière : Du L'arrêt qui précède, dont la rédaction a été approuvée à huis clos, est notifié à : - M. B.________ (personnellement), - Mme P.________ (personnellement), - M. Alain Vuffray, agent d’affaires breveté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