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JL24.011543 vom 23. August 2024</w:t>
      </w:r>
    </w:p>
    <w:p>
      <w:r>
        <w:t>VD Tribunal cantonal, 2024-08-23, FR</w:t>
      </w:r>
    </w:p>
    <w:p>
      <w:r>
        <w:rPr>
          <w:b/>
        </w:rPr>
        <w:t xml:space="preserve">Quelle: </w:t>
      </w:r>
      <w:r>
        <w:t>https://mcp.opencaselaw.ch/entscheid/vd_gerichte_JL24.011543</w:t>
      </w:r>
    </w:p>
    <w:p>
      <w:r>
        <w:t>FR: VD_GERICHTE JL24.011543 du 23 août 2024</w:t>
      </w:r>
    </w:p>
    <w:p>
      <w:r>
        <w:t>IT: VD_GERICHTE JL24.011543 del 23 agosto 2024</w:t>
      </w:r>
    </w:p>
    <w:p>
      <w:pPr>
        <w:pStyle w:val="Heading2"/>
      </w:pPr>
      <w:r>
        <w:t>Erwägungen</w:t>
      </w:r>
    </w:p>
    <w:p>
      <w:r>
        <w:rPr>
          <w:b/>
        </w:rPr>
        <w:t>E. 3</w:t>
      </w:r>
    </w:p>
    <w:p>
      <w:r>
        <w:t>- 7 -</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 parmi d’autres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du cas d’espèce (ATF 144 III 462 précité consid. 3.1 ; ATF 141 III 23 précité consid. 3.2 ; TF 4A_305/2024 précité consid. 4.1).</w:t>
      </w:r>
    </w:p>
    <w:p>
      <w:r>
        <w:t>- 8 -</w:t>
      </w:r>
    </w:p>
    <w:p>
      <w:r>
        <w:rPr>
          <w:b/>
        </w:rPr>
        <w:t>E. 3.2</w:t>
      </w:r>
    </w:p>
    <w:p>
      <w:r>
        <w:t>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précité consid. 3.3.1 ; ATF 142 III 515 consid. 2.2.4 in fine ; TF 376/2021 du 7 janvier 2022 consid. 4.2.1).</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pour les baux d’habitation ou de locaux commerciaux, de trente jours au moins (al. 1 in fine).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w:t>
      </w:r>
    </w:p>
    <w:p>
      <w:r>
        <w:t>- 9 - La jurisprudence a précisé que, lorsqu’il n’avait pas réglé l’arriéré réclamé dans le délai comminatoire prévu par l’art. 257d CO, le locataire était en demeure et devait subir les conséquences juridiques de l’al.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postale de sept jours (ATF 137 III 208 consid. 3.1.3 ; ATF 119 II 147 consid. 2, JdT 1994 I 205 ; Lachat et al., op. cit., n.2.2.4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JdT 2005 I 618, SJ 2005 I 514 ; TF 4A_41/2011 du 27 avril 2011 consid. 2.1.1 ; cf. également TF 4A_195/2023 du 24 juillet 2023 consid. 3.2.4).</w:t>
      </w:r>
    </w:p>
    <w:p>
      <w:r>
        <w:rPr>
          <w:b/>
        </w:rPr>
        <w:t>E. 4.1</w:t>
      </w:r>
    </w:p>
    <w:p>
      <w:r>
        <w:t>Dans un grief qu’il convient de traiter en premier, l’appelante fait valoir qu’elle s’est acquittée d’un loyer, soit 4'150 fr., valeur au 7 septembre 2023, et d’un montant identique, valeur au 19 octobre 2023. Elle estime que ces montants sont relatifs aux loyers des mois de septembre et octobre 2023. L’intimé indique que ces montants ont été attribués aux mois d’août et septembre 2023, si bien que le loyer d’octobre 2023, objet de l’avis comminatoire du 20 octobre 2023, n’aurait pas été payé.</w:t>
      </w:r>
    </w:p>
    <w:p>
      <w:r>
        <w:t>- 10 -</w:t>
      </w:r>
    </w:p>
    <w:p>
      <w:r>
        <w:rPr>
          <w:b/>
        </w:rPr>
        <w:t>E. 4.2</w:t>
      </w:r>
    </w:p>
    <w:p>
      <w:r>
        <w:t>Il n’est pas contesté que l’avis comminatoire précité porte bien sur l’absence de paiement du loyer du mois d’octobre 2023. La réception des deux montants dont se prévaut l’appelante n’est pas plus contestée. Il ne ressort cependant pas du procès-verbal de l’audience du 27 mai 2024, ni de la requête en protection du cas clair du 5 mars 2024, que l’intimé aurait bien indiqué que les montants reçus en septembre et octobre 2023 correspondaient aux loyers d’août et septembre 2023. Surtout, aucune pièce au dossier ne permet d’établir l’état des retards de loyer de l’appelante au moment de ces versements, et en conséquence, si le bailleur était en effet en mesure de les imputer sur des loyers antérieurs dus. Or, à défaut, il convient d’admettre que les versements ont eu lieu pour le mois en cours, comme le fait valoir l’appelante. Ainsi, les loyers du mois d’octobre 2023 paraissent avoir été acquittés à hauteur de 4'150 fr., valeur au 19 octobre 2023, soit avant l’envoi de l’avis comminatoire du 20 octobre 2023. Il en résulte que la situation ne saurait être qualifiée de claire au regard de l’art. 257 CPC. Pour ce seul motif, l’appel doit être admis dans son ensemble.</w:t>
      </w:r>
    </w:p>
    <w:p>
      <w:r>
        <w:rPr>
          <w:b/>
        </w:rPr>
        <w:t>E. 5</w:t>
      </w:r>
    </w:p>
    <w:p>
      <w:r>
        <w:t>Au vu de l’admission de l’appel, il n’y a pas lieu d’examiner les autres griefs formés par l’appelante.</w:t>
      </w:r>
    </w:p>
    <w:p>
      <w:r>
        <w:rPr>
          <w:b/>
        </w:rPr>
        <w:t>E. 6.1</w:t>
      </w:r>
    </w:p>
    <w:p>
      <w:r>
        <w:t>En définitive, l’appel doit être admis et l’ordonnance annulée. Il est statué à nouveau en ce sens que la requête d’expulsion du 5 mars 2024 doit être déclarée irrecevable.</w:t>
      </w:r>
    </w:p>
    <w:p>
      <w:r>
        <w:rPr>
          <w:b/>
        </w:rPr>
        <w:t>E. 6.2</w:t>
      </w:r>
    </w:p>
    <w:p>
      <w:r>
        <w:t>Selon l’art. 318 al. 3 CPC, si l’instance d’appel statue à nouveau, elle se prononce sur les frais – soit les frais judiciaires et les dépens (art. 95 al. 1 CPC) – de la première instance. L’appelante obtenant entièrement gain de cause, les frais judiciaires de première instance,</w:t>
      </w:r>
    </w:p>
    <w:p>
      <w:r>
        <w:t>- 11 - d’ores et déjà arrêtés à 780 fr., seront mis à la charge de l’intimé, qui succombe (art. 106 al. 1 CPC). Celui-ci versera en outre à l’appelante la somme de 600 fr. (art. 3 al. 2 et 11 TDC [tarif des dépens en matière civile du 23 novembre 2010 ; BLV 270.11.6]) à titre de dépens de première instance. Pour ces mêmes motifs, les frais judiciaires de deuxième instance, arrêtés à 200 fr. (art. 62 al. 3 et 69 al. 1 TFJC [tarif des frais judiciaires civils du 28 septembre 2010 ; BLV 270.11.5]), seront mis à la charge de l’intimé (art. 106 al. 1 CPC). Celui-ci versera ainsi à l’appelante la somme de 200 fr. à titre de restitution de l’avance de frais qu’elle a fournie (art. 111 al. 2 CPC). L’intimé versera en outre à l’appelante la somme de 500 fr. à titre de dépens de deuxième instance (art. 3 al. 2 et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