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JL23.035158 vom 5. Februar 2024</w:t>
      </w:r>
    </w:p>
    <w:p>
      <w:r>
        <w:t>VD Tribunal cantonal, 2024-02-05, FR</w:t>
      </w:r>
    </w:p>
    <w:p>
      <w:r>
        <w:rPr>
          <w:b/>
        </w:rPr>
        <w:t xml:space="preserve">Quelle: </w:t>
      </w:r>
      <w:r>
        <w:t>https://mcp.opencaselaw.ch/entscheid/vd_gerichte_JL23.035158</w:t>
      </w:r>
    </w:p>
    <w:p>
      <w:r>
        <w:t>FR: VD_GERICHTE JL23.035158 du 5 février 2024</w:t>
      </w:r>
    </w:p>
    <w:p>
      <w:r>
        <w:t>IT: VD_GERICHTE JL23.035158 del 5 febbraio 2024</w:t>
      </w:r>
    </w:p>
    <w:p>
      <w:pPr>
        <w:pStyle w:val="Heading2"/>
      </w:pPr>
      <w:r>
        <w:t>Erwägungen</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(ATF 138 III 374 consid. 4.3.1 ; TF 5A_340/2021 du 16 novembre 2021 consid. 5.3.1 ; TF 4A_215/2017 du 15 janvier 2019 consid. 3.4).</w:t>
      </w:r>
    </w:p>
    <w:p>
      <w:r>
        <w:rPr>
          <w:b/>
        </w:rPr>
        <w:t>E. 4.1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 CACI 26 mars 2021/145 consid. 3.2.1). L'état de fait n'est pas litigieux lorsqu'il n'est pas contesté par le défendeur ; il est susceptible d'être immédiatement prouvé lorsque les</w:t>
      </w:r>
    </w:p>
    <w:p>
      <w:r>
        <w:t>- 9 - faits peuvent être établis sans retard et sans trop de frais. En règle générale, la preuve est rapportée par la production de titres, conformément à l'art. 254 al. 1 CPC. La preuve n'est pas facilitée : le demandeur doit ainsi apporter la preuve certaine (voller Beweis) des faits justifiant sa prétention ;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La situation juridique est claire lorsque l'application de la norme au cas concret s'impose de façon évidente au regard du texte légal ou sur la base d'une doctrine et d'une jurisprudence éprouvées.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w:t>
      </w:r>
    </w:p>
    <w:p>
      <w:r>
        <w:rPr>
          <w:b/>
        </w:rPr>
        <w:t>E. 4.2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w:t>
      </w:r>
    </w:p>
    <w:p>
      <w:r>
        <w:t>- 10 - accompli au terme prévu. Point n'est besoin d'une interpellation du créancier, à l'inverse de ce que l'art. 102 al. 1 CO prescrit pour la mise en demeure ordinaire du débiteur (TF 4A_65/2016 du 2 septembre 2016 consid. 3.1 ; TF 4A_566/2011 du 6 décembre 2011 consid. 3.1).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cela même si l'arriéré avait finalement été payé (TF 4A_436/2018 du 17 janvier 2019 consid. 5.1 et les réf. citées). Si, en revanche, l'une des conditions d'application de l'art. 257d CO n'est pas réalisée, le congé est inefficace (Lachat et al., Le bail à loyer, Lausanne 2019 [ci-après : Bail], n. 2.3.5 p. 879). Le délai comminatoire commence à courir lorsque le locataire a effectivement reçu en ses mains la mise en demeure, mais au plus tard à l'échéance du délai de garde postale de sept jours (ATF 137 III 208 consid. 3.1.3 ; ATF 119 Il 147 consid. 2, JdT 1994 1 205 ; Lachat et al., Bail, n. 2.2.4 p. 875 et les réf. citées ; Wessner, Droit du bail à loyer et à ferme, Commentaire pratique, 2e éd., Bâle 2017, n. 21 ad art. 257d CO et les réf. citées). Il incombe à la partie qui prétend que son obligation a été exécutée de prouver cette exécution, notamment par paiement (ATF 130 III 321 consid. 3.1 ; ATF 128 III 271 consid. 2a/aa, JdT 2003 1 606 ; TF 4A_41/2011 du 27 avril 2011 consid. 2.1.1 ; CACI 4 août 2022/396).</w:t>
      </w:r>
    </w:p>
    <w:p>
      <w:r>
        <w:rPr>
          <w:b/>
        </w:rPr>
        <w:t>E. 4.3</w:t>
      </w:r>
    </w:p>
    <w:p>
      <w:r>
        <w:t>La jurisprudence admet toutefois que le congé prononcé conformément à l'art. 257d CO puisse, à titre très exceptionnel, être considéré comme contrevenant aux règles de la bonne foi au sens de l'art. 271 al. 1 CO et être partant annulable. La notion doit être interprétée très restrictivement, afin de ne pas mettre en question le droit du bailleur à recevoir le loyer à l'échéance (ATF 140 III 591 consid. 1 ; TF 4A_550/2020</w:t>
      </w:r>
    </w:p>
    <w:p>
      <w:r>
        <w:t>- 11 - du 29 avril 2021 consid. 8.2 et les réf. citées). L'annulation du congé doit rester une ultima ratio dans le cas du locataire qui ne paie pas son loyer (TF 4A_252/2014 du 28 mai 2014 consid. 4.2 ; Lachat et al., Bail, n. 2.3.6 note de bas de page n. 109 p. 881, qui indique que « de fait, les situations où le congé n'est pas inefficace mais annulable sont "très rares" »). L’annulation entre en considération notamment lorsque le bailleur réclame au locataire, avec menace de résiliation du bail, une somme largement supérieure à celle en souffrance, alors qu'il n'est pas certain du montant effectivement dû et invite son locataire à vérifier le montant réclamé ; il contrevient aux règles de la bonne foi s'il maintient cette menace après avoir réduit sensiblement ses prétentions à la suite d'une contestation du locataire relative au montant réclamé (ATF 120 Il 31 consid. 4b ; TF 4A_330/2017 du 8 février 2018 consid. 3.1) ; ou encore, l'arriéré est insignifiant, ou a été réglé très peu de temps après l'expiration du délai comminatoire, alors que le locataire s'était jusque-là toujours acquitté du loyer à temps ; ou enfin, le bailleur ne résilie le contrat que longtemps après l'expiration de ce même délai. Le fardeau de la preuve d'une résiliation contraire à la bonne foi incombe au locataire (ATF 140 III 591 consid. 1 et les réf. citées ; TF 4A_550/2020 du 29 avril 2021 consid. 8.2 ; TF 4A 436/2018 du 17 janvier 2019 consid. 5.1 ; TF 4A_571/2018 du 14 janvier 2019 consid. 9).</w:t>
      </w:r>
    </w:p>
    <w:p>
      <w:r>
        <w:rPr>
          <w:b/>
        </w:rPr>
        <w:t>E. 5</w:t>
      </w:r>
    </w:p>
    <w:p>
      <w:r>
        <w:t>L'appelante évoque dans un premiers temps des difficultés liées à l'acheminement de son courrier. Elle n'évoque cependant pas dans quelle mesure celles-ci auraient eu un impact sur sa capacité à s'acquitter des loyers pour les locaux litigieux, respectivement l'arriéré objet de l'avis comminatoire, si bien que l'éventuel grief lié à ces difficultés ne peut qu'être écarté, pour autant qu'il réponde aux exigences de motivation.</w:t>
      </w:r>
    </w:p>
    <w:p>
      <w:r>
        <w:rPr>
          <w:b/>
        </w:rPr>
        <w:t>E. 6</w:t>
      </w:r>
    </w:p>
    <w:p>
      <w:r>
        <w:t>Dans son appel, l'appelante expose avoir toujours honoré ses loyers. Elle n'indique, ni ne démontre, cependant avoir acquitté la somme de 2'207 fr. requise par avis comminatoire du 19 janvier 2023 dans le</w:t>
      </w:r>
    </w:p>
    <w:p>
      <w:r>
        <w:t>- 12 - délai de 30 jours fixé par l'art. 257d CO, si bien que l'argument ne saurait être accueilli.</w:t>
      </w:r>
    </w:p>
    <w:p>
      <w:r>
        <w:rPr>
          <w:b/>
        </w:rPr>
        <w:t>E. 7</w:t>
      </w:r>
    </w:p>
    <w:p>
      <w:r>
        <w:t>Enfin, l'appelante évoque ses activités et s'engage à régulariser sa situation financière sans que l'on perçoive un grief recevable au sein des explications fournies.</w:t>
      </w:r>
    </w:p>
    <w:p>
      <w:r>
        <w:rPr>
          <w:b/>
        </w:rPr>
        <w:t>E. 8</w:t>
      </w:r>
    </w:p>
    <w:p>
      <w:r>
        <w:t>En définitive, l'appel, manifestement infondé, doit être rejeté en application de la procédure de l'art. 312 al. 1 in fine CPC et l'ordonnance entreprise confirmée.</w:t>
      </w:r>
    </w:p>
    <w:p>
      <w:r>
        <w:rPr>
          <w:b/>
        </w:rPr>
        <w:t>E. 8.1</w:t>
      </w:r>
    </w:p>
    <w:p>
      <w:r>
        <w:t>Les frais judiciaires de deuxième instance, arrêtés à 200 fr. (art. 62 al. 1 et 3 ainsi que 69 al. 1 TFJC [tarif des frais judiciaires civils du 28 septembre 2010 ; BLV 270.11.5]), seront mis à la charge de l'appelante, qui succombe (art. 106 al. 1 CPC).</w:t>
      </w:r>
    </w:p>
    <w:p>
      <w:r>
        <w:rPr>
          <w:b/>
        </w:rPr>
        <w:t>E. 8.2</w:t>
      </w:r>
    </w:p>
    <w:p>
      <w:r>
        <w:t>Compte tenu de l'effet suspensif lié à l'appel (art. 315 al. 1 CPC) et du fait que le terme de l'expulsion est désormais échu, la cause sera renvoyée au premier juge pour qu'il fixe à l'appelant un nouveau délai pour libérer les locaux litigieux.</w:t>
      </w:r>
    </w:p>
    <w:p>
      <w:r>
        <w:rPr>
          <w:b/>
        </w:rPr>
        <w:t>E. 8.3</w:t>
      </w:r>
    </w:p>
    <w:p>
      <w:r>
        <w:t>L’intimée n’ayant pas été interpellée,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