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JL23.027277 vom 2. November 2023</w:t>
      </w:r>
    </w:p>
    <w:p>
      <w:r>
        <w:t>VD Tribunal cantonal, 2023-11-02, FR</w:t>
      </w:r>
    </w:p>
    <w:p>
      <w:r>
        <w:rPr>
          <w:b/>
        </w:rPr>
        <w:t xml:space="preserve">Quelle: </w:t>
      </w:r>
      <w:r>
        <w:t>https://mcp.opencaselaw.ch/entscheid/vd_gerichte_JL23.027277</w:t>
      </w:r>
    </w:p>
    <w:p>
      <w:r>
        <w:t>FR: VD_GERICHTE JL23.027277 du 2 novembre 2023</w:t>
      </w:r>
    </w:p>
    <w:p>
      <w:r>
        <w:t>IT: VD_GERICHTE JL23.027277 del 2 novembre 2023</w:t>
      </w:r>
    </w:p>
    <w:p>
      <w:pPr>
        <w:pStyle w:val="Heading2"/>
      </w:pPr>
      <w:r>
        <w:t>Erwägungen</w:t>
      </w:r>
    </w:p>
    <w:p>
      <w:r>
        <w:rPr>
          <w:b/>
        </w:rPr>
        <w:t>E. 3.1</w:t>
      </w:r>
    </w:p>
    <w:p>
      <w:r>
        <w:t>Le recourant invoque d’abord « l’absence de compétence du juge de paix » pour prononcer la mesure d’expulsion en cause. Il fait valoir que la « sous-location ne pouvait […] être considérée séparément du reste », soit de « la vente par acompte du fonds de commerce ».</w:t>
      </w:r>
    </w:p>
    <w:p>
      <w:r>
        <w:rPr>
          <w:b/>
        </w:rPr>
        <w:t>E. 3.2</w:t>
      </w:r>
    </w:p>
    <w:p>
      <w:r>
        <w:t>- 9 -</w:t>
      </w:r>
    </w:p>
    <w:p>
      <w:r>
        <w:rPr>
          <w:b/>
        </w:rPr>
        <w:t>E. 3.2.1</w:t>
      </w:r>
    </w:p>
    <w:p>
      <w:r>
        <w:t>Selon l'art. 1 al. 3 LJB (loi sur la juridiction en matière de bail du 9 novembre 2010 ; BLV 173.655), cette loi ne s'applique pas aux procédures d'expulsion dans le cas où le bail est résilié en raison d'un retard dans le paiement du loyer. L'art. 5 al. 1 ch. 30 CDPJ (Code de droit privé judiciaire vaudois du 12 janvier 2010 ; BLV 211.02) précise qu'en cette matière, le juge de paix est compétent (CACI 3 avril 2017/168 consid. 5.2 et les références citées, not. CACI 1er avril 2014/167, JdT 2014 III 88).</w:t>
      </w:r>
    </w:p>
    <w:p>
      <w:r>
        <w:rPr>
          <w:b/>
        </w:rPr>
        <w:t>E. 3.2.2</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ou d'un contrat composé, qui doit être appréhendé comme un seul et unique accord (ATF 131 III 528 consid. 7.1.1 ; TF 4A_335/2018 du 9 mai 2019 consid. 4.1 et l'arrêt cité). On parle de contrat composé lorsque la convention réunit plusieurs contrats distincts, mais dépendants entre eux ; il y a contrat mixte lorsqu'une seule convention comprend des éléments relevant de plusieurs contrats nommés (ATF 131 III 528 consid. 7.1.1 ; TF 4A 335/2018 précité consid. 4.1). Lorsqu'on se trouve confronté à un contrat mixte ou composé, il n'est généralement pas possible de l'attribuer à un type de contrat aux éléments caractéristiques clairs, ni, partant, de dire une fois pour le tout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w:t>
      </w:r>
    </w:p>
    <w:p>
      <w:r>
        <w:t>- 10 - de travail, contrat de société, contrat de livraison, contrat de mandat, contrat de bail ; ATF 131 III 528 consid. 7.1.1 ; TF 4A_335/2018 précité consid. 4.1). Cela signifie que les différentes questions à résoudre doivent être régies par les normes légales ou les principes juridiques qui sont adaptés à chacune d'elles ; chaque question – par exemple la résiliation du contrat – doit être toutefois soumise aux dispositions légales d'un seul et même contrat (ATF 131 III 528 consid. 7.1.1 ; TF 4A 335/2018 précité consid. 4.1 et les arrêts cités) ; en effet, vu la dépendance réciproque des différents éléments du contrat mixte ou composé, il n'est pas possible que la même question soit réglée de manière différente pour chacun d'eux (ATF 131 III 528 consid. 7.1.1 ; TF 4A 335/2018, précité).</w:t>
      </w:r>
    </w:p>
    <w:p>
      <w:r>
        <w:rPr>
          <w:b/>
        </w:rPr>
        <w:t>E. 3.3</w:t>
      </w:r>
    </w:p>
    <w:p>
      <w:r>
        <w:t>En l’espèce, il n’apparait pas que le recourant ait soulevé l'incompétence rationae materiae devant le premier juge, la décision attaquée précisant au contraire que le locataire a admis qu'une partie des loyers objets de l'avis comminatoire du 6 mars 2023 n'avait pas été réglée, ce que confirme la teneur du procès-verbal de l'audience du 23 août 2023. Le recourant a donc procédé devant l'autorité de première instance sans soulever d'objection. De toute manière, c'est à bon droit que le premier juge, examinant d'office sa compétence en application de l'art. 60 CPC, l'a considérée comme acquise. En effet, il a relevé à juste titre que par courrier du 17 avril 2023, accompagné de la formule officielle de résiliation de bail, l'intimée avait déclaré résilier le contrat de bail litigieux en application de l'art. 257d CO, ce qui fondait la compétence du juge de paix en vertu de l’art. 5 al. 1 ch. 30 CDPJ. En outre, même en examinant l'ensemble des rapports contractuels ayant lié les parties (ici contrat de sous-location et contrat de vente), on ne discerne aucune objection, telle que formulée par la jurisprudence précitée, à ce que les règles spécifiques du contrat de bail soient appliquées à ladite résiliation. En effet, l'intimée a également mis fin au contrat de vente de fonds de commerce par pli</w:t>
      </w:r>
    </w:p>
    <w:p>
      <w:r>
        <w:t>- 11 - recommandé du 10 novembre 2022, en déclarant l'annulation de ce contrat pour défaut de versement des acomptes prévus, de sorte que la fin des rapports contractuels entre les parties a été signifiée par l’intimée en respectant à la fois les dispositions contractuelles (art. 3 du contrat de vente de fonds de commerce) et les dispositions applicables en matière de bail. Il s’ensuit que le juge de paix était bien compétent pour traiter la requête en cas clair déposée par l’intimée.</w:t>
      </w:r>
    </w:p>
    <w:p>
      <w:r>
        <w:rPr>
          <w:b/>
        </w:rPr>
        <w:t>E. 4.1</w:t>
      </w:r>
    </w:p>
    <w:p>
      <w:r>
        <w:t>Le recourant conteste ensuite la réalisation d’un cas clair au sens de l’art. 257 al. 1 CPC. Il se prévaut à cet égard du montant qu’il a déjà versé à ce jour pour l’achat du fonds de commerce de l’intimée et qui serait selon lui largement exagéré, arguant qu’avec la résiliation du bail il serait victime d’un « véritable hold-up judiciaire ». Il se prévaut également de l’art. 254 CO, en faisant valoir que le contrat qu’il a signé serait contraire à cette disposition.</w:t>
      </w:r>
    </w:p>
    <w:p>
      <w:r>
        <w:rPr>
          <w:b/>
        </w:rPr>
        <w:t>E. 4.2.1.1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w:t>
      </w:r>
    </w:p>
    <w:p>
      <w:r>
        <w:t>- 12 - production de titres, conformément à l’art. 254 al. 1 CPC. Si le défendeur fait valoir des objections et exceptions motivées et concluantes (substanziiert und schlüssig), qui ne peuvent être écartées immédiatement et qui sont de nature à ébranler la conviction du juge, la procédure en cas clairs est irrecevable (ATF 144 III 462 consid. 3.1 ; ATF 141 III 23 consid. 3.2 ; ATF 138 III 620 consid. 5.1.1 et les arrêts cités ; TF 4A_142/2020 du 3 septembre 2020 consid. 3.1). A l’inverse, le cas clair doit être retenu lorsque sont émises des objections manifestement mal fondées ou inconsistantes sur lesquelles il peut être statué immédiatement (ATF 138 III 620 consid. 5.1.1 ; TF 4A_550/2020 du 29 avril 2021 consid. 5.1 ; TF 4A_422/2020 du 2 novembre 2020 consid. 4.1).</w:t>
      </w:r>
    </w:p>
    <w:p>
      <w:r>
        <w:rPr>
          <w:b/>
        </w:rPr>
        <w:t>E. 4.2.1.2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 et al., Le bail à loyer, Lausanne 2019, n. 2.3.5 p. 879).</w:t>
      </w:r>
    </w:p>
    <w:p>
      <w:r>
        <w:t>- 13 -</w:t>
      </w:r>
    </w:p>
    <w:p>
      <w:r>
        <w:rPr>
          <w:b/>
        </w:rPr>
        <w:t>E. 4.2.2</w:t>
      </w:r>
    </w:p>
    <w:p>
      <w:r>
        <w:t>A teneur de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Pour être illicite au sens de l'art. 254 CO, la transaction couplée doit constituer la condition sine qua non du bail.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JdT 1993 I 648). La conclusion de la transaction couplée doit constituer en quelque sorte le prix à payer par le locataire pour obtenir le bail ou son renouvellement. Pour être applicable, l'art. 254 CO exige de plus qu'il y ait absence de lien direct entre les obligations contractées par le locataire dans la transaction couplée et l'usage de la chose louée. En cas d'important déséquilibre entre les prestations, il peut y avoir une transaction couplée même en cas de relation directe entre les deux contrats (CACI 10 septembre 2013/467 consid. 3c et les références citées). Le locataire qui tarderait à se prévaloir de la nullité de la transaction couplée commettrait, selon les circonstances, un abus de droit (art. 2 al. 2 CC) (CACI 10 septembre 2013/467 consid. 3c).</w:t>
      </w:r>
    </w:p>
    <w:p>
      <w:r>
        <w:rPr>
          <w:b/>
        </w:rPr>
        <w:t>E. 4.2.3</w:t>
      </w:r>
    </w:p>
    <w:p>
      <w:r>
        <w:t>En l’espèce, le recourant ne conteste pas avoir été en demeure du paiement d'une partie du loyer, tant au moment de l’avis comminatoire qui lui a été adressé le 6 mars 2023 qu’au moment de la résiliation du bail intervenue le 17 avril 2023. Partant, le constat du premier juge selon lequel l'entier du loyer n'a pas été réglé dans le délai comminatoire imparti doit être confirmé, tout comme son constat selon</w:t>
      </w:r>
    </w:p>
    <w:p>
      <w:r>
        <w:t>- 14 - lequel le bail en cause a été valablement résilié selon l'art. 257d CO. On relèvera à cet égard que le défaut de paiement n’a été pris en compte que pour la part non réglée du loyer et non pas pour l'arriéré des acomptes en paiement du prix de vente du fonds de commerce, de sorte que les objections du recourant relatives au caractère exorbitant de ce prix de vente ne sont pas recevables. Quant à l'invocation de l'art. 254 CO elle est ici vaine, car cette disposition traite d'une toute autre hypothèse, soit du cas où le locataire se voit contraint de signer ou de maintenir un bail à la condition d'une autre transaction qui ne présente aucun intérêt pour lui et qui n’est pas en relation directe avec l’usage de la chose louée. Or, en l'espèce il est évident que pour reprendre le fonds de commerce de l’intimée, le recourant devait à la fois conclure une vente et un bail pour exploiter celui-ci. Il existait donc bien une relation directe entre le bail en cause et la vente dudit fonds de commerce, étant relevé que le recourant avait manifestement un intérêt à la conclusion de ces deux contrats. En définitive, c’est à raison que le premier juge a considéré que l’on était en présence d’un cas clair au sens de l’art. 257 al. 1 CPC, les objections invoquées par le recourant pour s’opposer à la résiliation du contrat de bail en cause étant manifestement mal fondées.</w:t>
      </w:r>
    </w:p>
    <w:p>
      <w:r>
        <w:rPr>
          <w:b/>
        </w:rPr>
        <w:t>E. 5</w:t>
      </w:r>
    </w:p>
    <w:p>
      <w:r>
        <w:t>Au vu des considérations qui précèdent, le recours, manifestement infondé, doit être rejeté (art. 322 al. 1 in fine CPC) et l’ordonnance confirmée. L’effet suspensif au recours ayant été accordé, le premier juge fixera un nouveau délai au recourant pour libérer les locaux litigieux. Les frais judiciaires de deuxième instance, arrêtés à 400 fr. (art. 69 al. 1 et 70 al. 4 TFJC [tarif des frais judiciaires civils du 28 septembre 2010 ;</w:t>
      </w:r>
    </w:p>
    <w:p>
      <w:r>
        <w:t>- 15 - BLV 270.11.5]), sont mis à la charge du recourant, qui succombe (art. 106 al. 1 CPC). Il n’y a pas matière à l’allocation de dépens, l’intimée n’ayant pas été invitée à se déterminer sur le recours. Par ces motifs, la Chambre des recours civile du Tribunal cantonal, en application de l'art. 322 al. 1 CPC, prononce : I. Le recours est rejeté. II. L’ordonnance est confirmée. III. Le dossier est retourné au premier juge pour fixation d’un nouveau délai d’expulsion. IV. Les frais judiciaires de deuxième instance, arrêtés à 400 fr. (quatre cents francs), sont mis à la charge du recourant R.________. V. L’arrêt est exécutoire. La présidente : Le greffier :</w:t>
      </w:r>
    </w:p>
    <w:p>
      <w:r>
        <w:t>- 16 - Du L'arrêt qui précède, dont la rédaction a été approuvée à huis clos, est notifié à : - M. R.________, - Me Giuliano Scuderi (pour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