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JL21.037857 vom 25. Januar 2022</w:t>
      </w:r>
    </w:p>
    <w:p>
      <w:r>
        <w:t>VD Tribunal cantonal, 2022-01-25, FR</w:t>
      </w:r>
    </w:p>
    <w:p>
      <w:r>
        <w:rPr>
          <w:b/>
        </w:rPr>
        <w:t xml:space="preserve">Quelle: </w:t>
      </w:r>
      <w:r>
        <w:t>https://mcp.opencaselaw.ch/entscheid/vd_gerichte_JL21.037857</w:t>
      </w:r>
    </w:p>
    <w:p>
      <w:r>
        <w:t>FR: VD_GERICHTE JL21.037857 du 25 janvier 2022</w:t>
      </w:r>
    </w:p>
    <w:p>
      <w:r>
        <w:t>IT: VD_GERICHTE JL21.037857 del 25 gennaio 2022</w:t>
      </w:r>
    </w:p>
    <w:p>
      <w:pPr>
        <w:pStyle w:val="Heading2"/>
      </w:pPr>
      <w:r>
        <w:t>Erwägungen</w:t>
      </w:r>
    </w:p>
    <w:p>
      <w:r>
        <w:rPr>
          <w:b/>
        </w:rPr>
        <w:t>E. 3</w:t>
      </w:r>
    </w:p>
    <w:p>
      <w:r>
        <w:t>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(substanziiert und schlüssig), qui ne peuvent être écartées immédiatement et qui sont de nature à ébranler la conviction du juge, la procédure pour les cas clairs est exclue et la requête irrecevable (ATF 144 III 462 consid. 3.1 ; ATF 141 III 23 consid 3.2 ; ATF 138 III 620 consid. 5.1.1). A l'inverse, le cas clair doit être retenu lorsque sont émises des objections manifestement mal fondées ou inconsistantes sur lesquelles il peut être statué immédiatement (ATF 138 III 620 consid. 5.1.1 ; TF</w:t>
      </w:r>
    </w:p>
    <w:p>
      <w:r>
        <w:t>- 7 - 4A_550/2020 du 29 avril 2021 consid. 5.1 ; TF 4A_350/2014 du 16 septembre 2014 consid. 2.1). La situation juridique est claire lorsque l'application de la norme au cas concret s'impose de façon évidente au regard du texte légal ou sur la base d'une doctrine et d'une jurisprudence éprouvées (ATF 144 III 462 consid. 3.1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ATF 141 III 23 consid. 3.2 ; ATF 138 III 123 consid. 2.1.2). Cela ne signifie toutefois pas que l'existence d'un cas clair doit être d'emblée exclue sous l'angle juridique lorsqu'un abus de droit est invoqué. En effet, l'interdiction de l'abus de droit ne présuppose pas la prise en compte de toutes les circonstances du cas d'espèce au sens de la jurisprudence précitée si le comportement considéré est manifestement abusif, ce qui est notamment le cas s'il appartient aux cas typiquement reconnus comme tels par la jurisprudence et la doctrine (TF 4A_550/2020, déjà cité, consid. 5.1 ; TF 4A_25/2019 du 15 avril 2019 consid. 3 ; TF 4A_185/2017 du 15 juin 2017 consid. 5.4).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 TF 4A_550/2020, déjà cité, consid. 5.1).</w:t>
      </w:r>
    </w:p>
    <w:p>
      <w:r>
        <w:rPr>
          <w:b/>
        </w:rPr>
        <w:t>E. 3.1</w:t>
      </w:r>
    </w:p>
    <w:p>
      <w:r>
        <w:t>Les appelants font valoir que la résiliation de bail du 26 juillet 2021 mentionnait un arriéré relatif aux loyers des mois de juin et juillet 2021 alors que la mise en demeure du 15 juin 2021 indiquait les loyers des mois de mai et juin 2021. Ils indiquent avoir payé les loyers des mois de juin et juillet 2021 en date du 23 août 2021. Admettant ne pas avoir quitté les locaux à la date du 31 août 2021, les appelants font valoir que l’entier des loyers serait payé depuis lors et soutiennent qu’en raison de la crise sanitaire, leur bailleur aurait dû faire preuve de solidarité.</w:t>
      </w:r>
    </w:p>
    <w:p>
      <w:r>
        <w:rPr>
          <w:b/>
        </w:rPr>
        <w:t>E. 3.2.1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w:t>
      </w:r>
    </w:p>
    <w:p>
      <w:r>
        <w:rPr>
          <w:b/>
        </w:rPr>
        <w:t>E. 3.2.2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w:t>
      </w:r>
    </w:p>
    <w:p>
      <w:r>
        <w:t>- 8 - contrat avec effet immédiat ; les baux d'habitations ou de locaux commerciaux peuvent être résiliés avec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 Le bail à loyer, éd. 2019, n. 2.3.5 p. 879).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Ils peuvent cependant être pris en compte au stade de l’exécution forcée, en application du principe général de la proportionnalité (Lachat/Rubli, Le bail à loyer, éd. 2019, n. 7.6 p. 1052).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w:t>
      </w:r>
    </w:p>
    <w:p>
      <w:r>
        <w:t>- 9 - calculé à partir de la notification de la décision est admissible (CACI 28 septembre 2021/468 consid. 3.2.2 et les réf. citées).</w:t>
      </w:r>
    </w:p>
    <w:p>
      <w:r>
        <w:rPr>
          <w:b/>
        </w:rPr>
        <w:t>E. 3.2.3</w:t>
      </w:r>
    </w:p>
    <w:p>
      <w:r>
        <w:t>L'action en contestation du congé formée par les locataires ne fait pas obstacle à l'action postérieure en expulsion selon l'art. 257 CPC, intentée par le bailleur (ATF 144 III 462 consid. 3.3.1).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 ; ATF 141 III 262 consid. 3 ; TF 4A_550/2020, déjà cité, consid. 5.3).</w:t>
      </w:r>
    </w:p>
    <w:p>
      <w:r>
        <w:rPr>
          <w:b/>
        </w:rPr>
        <w:t>E. 3.2.4</w:t>
      </w:r>
    </w:p>
    <w:p>
      <w:r>
        <w:t>Le congé nul est un congé affecté d’un vice grave qui le prive d’emblée de tout effet juridique. La nullité doit être prévue dans une disposition légale ou découler de son sens et de son but. Elle peut être invoquée en tout temps, sauf abus de droit ; elle doit être constatée d’office par l’autorité de conciliation ou par le juge, à n’importe quel stade de la procédure, y compris lors de la procédure d’expulsion. Doit notamment être considéré comme nul le congé donné par ou à un incapable de discernement (Lachat, op. cit., nn. 2.2 et 2.3 pp. 949-950 et les réf. citées ; Bohnet/Dietschy-Martenet, in Bohnet et al. [édit.], Commentaire pratique, Droit du bail à loyer et à ferme, 2e éd, 2017, n. 20 ad art. 266a CO et les réf. citées). Le congé est annulable lorsqu'il contrevient aux règles de la bonne foi (art. 271 al. 1 CO). La jurisprudence admet que le congé prononcé conformément à l'art. 257d CO peut, à titre très exceptionnel, contrevenir aux règles de la bonne foi ; la notion doit être interprétée très</w:t>
      </w:r>
    </w:p>
    <w:p>
      <w:r>
        <w:t>- 10 - restrictivement, afin de ne pas mettre en question le droit du bailleur à recevoir le loyer à l'échéance (ATF 140 III 591 consid. 1). L'annulation entre en considération notamment dans les cas suivants :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II 31 consid. 4b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consid. 1 et les réf. citées ; TF 4A_550/2020, déjà cité, consid. 8. 2 ; TF 4A_436/2018, déjà cité, consid. 5.1 ; TF 4A_571/2018 du 14 janvier 2019 consid. 9).</w:t>
      </w:r>
    </w:p>
    <w:p>
      <w:r>
        <w:rPr>
          <w:b/>
        </w:rPr>
        <w:t>E. 3.3</w:t>
      </w:r>
    </w:p>
    <w:p>
      <w:r>
        <w:t>En l’espèce, les locataires ne se sont pas acquittés de l’entier de l’arriéré de loyer de 2'980 fr. dans le délai comminatoire de trente jours imparti par l’intimée dans son courrier recommandé du 15 juin 2021. Ils admettent en effet eux-mêmes avoir payé le loyer du mois de juin, objet de la mise en demeure, uniquement le 23 août 2021, soit après l’échéance du délai et après que le bail avait été résilié. Par ailleurs, la résiliation a été adressée séparément à chacun des locataires. Les conditions de l’art. 257d CO sont ainsi réalisées, même si la résiliation fait référence aux loyers des mois de juin et juillet 2021 alors que le courrier du 15 juin 2021 indiquait les mois de mai et juin 2021. Par ailleurs, les motifs invoqués par les appelants sont impropres à remettre en question la validité de la résiliation du bail et aucun motif d’annulabilité de celle-ci n’est rendu vraisemblable. En effet, dans la requête déposée auprès de l’autorité de conciliation sollicitant l’annulation du congé, les appelants se sont limités à invoquer l’humanité</w:t>
      </w:r>
    </w:p>
    <w:p>
      <w:r>
        <w:t>- 11 - et leur situation familiale et commerciale délicate. Or les motifs humanitaires n’entrent pas en ligne de compte dans l’examen des conditions de l’art. 257d CO. Tout au plus peuvent-ils être pris en de compte dans l’aménagement du délai d’exécution forcée, éventuellement, mais ils ne font pas échec au prononcé de l’expulsion. Pour le surplus, le fait que les appelants soient désormais à jour ou non dans le paiement du loyer est sans incidence sur la validité du congé, respectivement sur le prononcé de l’expulsion.</w:t>
      </w:r>
    </w:p>
    <w:p>
      <w:r>
        <w:rPr>
          <w:b/>
        </w:rPr>
        <w:t>E. 4.1</w:t>
      </w:r>
    </w:p>
    <w:p>
      <w:r>
        <w:t>Au vu de ce qui précède, l’appel, manifestement mal fondé, doit être rejeté en application de l’art. 312 al. 1 in fine CPC et l’ordonnance entreprise confirmée.</w:t>
      </w:r>
    </w:p>
    <w:p>
      <w:r>
        <w:rPr>
          <w:b/>
        </w:rPr>
        <w:t>E. 4.2</w:t>
      </w:r>
    </w:p>
    <w:p>
      <w:r>
        <w:t>Vu l’effet suspensif lié à l’appel (art. 315 al. 1 CPC), le dossier de la cause sera renvoyé à la première juge pour qu’elle fixe un nouveau délai aux appelants pour libérer les locaux litigieux.</w:t>
      </w:r>
    </w:p>
    <w:p>
      <w:r>
        <w:rPr>
          <w:b/>
        </w:rPr>
        <w:t>E. 4.3</w:t>
      </w:r>
    </w:p>
    <w:p>
      <w:r>
        <w:t>Les frais judiciaires de deuxième instance, arrêtés à 100 fr. (art. 62 al. 3 et 69 al. 1 TFJC [tarif des frais judiciaires civils du 28 septembre 2010 ; BLV 270.11.5]), sont mis à la charge des appelants, qui succombent, solidairement entre eux (art. 106 al. 1 et 3 CPC). Il n’y a pas lieu d’allouer des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