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JL21.015937 vom 24. August 2021</w:t>
      </w:r>
    </w:p>
    <w:p>
      <w:r>
        <w:t>VD Tribunal cantonal, 2021-08-24, FR</w:t>
      </w:r>
    </w:p>
    <w:p>
      <w:r>
        <w:rPr>
          <w:b/>
        </w:rPr>
        <w:t xml:space="preserve">Quelle: </w:t>
      </w:r>
      <w:r>
        <w:t>https://mcp.opencaselaw.ch/entscheid/vd_gerichte_JL21.015937</w:t>
      </w:r>
    </w:p>
    <w:p>
      <w:r>
        <w:t>FR: VD_GERICHTE JL21.015937 du 24 août 2021</w:t>
      </w:r>
    </w:p>
    <w:p>
      <w:r>
        <w:t>IT: VD_GERICHTE JL21.015937 del 24 agosto 2021</w:t>
      </w:r>
    </w:p>
    <w:p>
      <w:pPr>
        <w:pStyle w:val="Heading2"/>
      </w:pPr>
      <w:r>
        <w:t>Erwägungen</w:t>
      </w:r>
    </w:p>
    <w:p>
      <w:r>
        <w:rPr>
          <w:b/>
        </w:rPr>
        <w:t>E. 3.1</w:t>
      </w:r>
    </w:p>
    <w:p>
      <w:r>
        <w:t>L’appelante soutient que son expulsion ne serait pas justifiée, soutenant en substance que l’intimé n’aurait rien entrepris pour réparer les graves défauts annoncés et qu’elle-même n’avait pas l’intention de ne pas payer son loyer, mais uniquement de faire respecter ses droits.</w:t>
      </w:r>
    </w:p>
    <w:p>
      <w:r>
        <w:rPr>
          <w:b/>
        </w:rPr>
        <w:t>E. 3.2.1</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t>- 8 -</w:t>
      </w:r>
    </w:p>
    <w:p>
      <w:r>
        <w:rPr>
          <w:b/>
        </w:rPr>
        <w:t>E. 3.2.2</w:t>
      </w:r>
    </w:p>
    <w:p>
      <w:r>
        <w:t>En vertu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L'avis comminatoire du bailleur est un acte soumis à réception relative : il ne fait courir le délai de paiement qu'à partir du jour où le locataire en a effectivement pris connaissance, et non seulement depuis le jour où il est parvenu dans la sphère d'influence de son destinataire, mais au plus tard dès l'échéance du délai de garde (cf. Pierre Wessner, in Bohnet/Carron/Montini [édit.], Droit du bail à loyer et à ferme, Commentaire pratique, 2e éd., 2017, n. 21 ad art. 257d CO p. 246 avec les réf. cités).</w:t>
      </w:r>
    </w:p>
    <w:p>
      <w:r>
        <w:rPr>
          <w:b/>
        </w:rPr>
        <w:t>E. 3.2.3</w:t>
      </w:r>
    </w:p>
    <w:p>
      <w:r>
        <w:t>La consignation est l'opération par laquelle une personne (le consignant) remet une chose mobilière à une autre personne (le consignataire), en faveur d'un tiers bénéficiaire, le consignataire s'engageant à la conserver jusqu'à ce que ce tiers ou le consignant soit autorisé à lui en réclamer la délivrance. La consignation prévue aux art. 259g ss CO est une consignation à titre d'exécution ; le débiteur, en remettant la chose à un tiers, est réputé exécuter son obligation et échappe ainsi aux conséquences de l'inexécution. Il s'agit d'un mode d'extinction d'une obligation tenant lieu d'exécution ou équivalant au paiement (Aubert, Commentaire romand, Code des obligations I, 2e éd. 2012, nn. 8-10 ad art. 259g CO). Selon l'art. 259g al. 2 CO, les loyers consignés sont réputés payés. Le locataire qui prétend avoir une créance en réduction de loyer ou en dommages-intérêts pour cause de défauts de l’objet loué n’est pas en droit de retenir tout ou partie du loyer échu ; il n’a en principe que</w:t>
      </w:r>
    </w:p>
    <w:p>
      <w:r>
        <w:t>- 9 -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Lachat/Rubli, Le bail à loyer, 2019, ch. 13.7.4.8 p. 341 ; Aubert, CPra-Bail, 2e éd., 2016, n. 10 ad art. 259g CO).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(TF 4A_140/2014 du 6 août 2014 consid. 5.2 ; Lachat, Le bail à loyer, 2019, ch. 15.3.7 p. 381 et ch. 30.2.3.5 p. 879 s.).</w:t>
      </w:r>
    </w:p>
    <w:p>
      <w:r>
        <w:rPr>
          <w:b/>
        </w:rPr>
        <w:t>E. 3.3</w:t>
      </w:r>
    </w:p>
    <w:p>
      <w:r>
        <w:t>En l’espèce, l’appelante reconnaît ne pas avoir versé ni consigné les loyers en question dans le délai imparti par l’intimé. Ce dernier, par l’intermédiaire d’I.________ SA, a par ailleurs respecté la procédure de résiliation prévue à l’art. 257d CO, ce qui n’est d’ailleurs pas contesté par l’appelante. L’intention de cette dernière de faire respecter ses droits liés aux défauts de la chose louée, défendable sur le principe, aurait dû être réalisée en conformité avec les règles des art. 259a ss CO. Aussi est-ce à bon droit que la juge de paix a admis la requête de l'intimé en protection d'un cas clair et qu'elle a ordonné l'expulsion de l'appelante.</w:t>
      </w:r>
    </w:p>
    <w:p>
      <w:r>
        <w:rPr>
          <w:b/>
        </w:rPr>
        <w:t>E. 4.1</w:t>
      </w:r>
    </w:p>
    <w:p>
      <w:r>
        <w:t>A titre subsidiaire, l’appelante requiert l’octroi d’un délai supplémentaire pour quitter son appartement afin de lui laisser du temps pour trouver un autre logement pour ses deux filles et elle.</w:t>
      </w:r>
    </w:p>
    <w:p>
      <w:r>
        <w:rPr>
          <w:b/>
        </w:rPr>
        <w:t>E. 4.2</w:t>
      </w:r>
    </w:p>
    <w:p>
      <w:r>
        <w:t>Selon la jurisprudence,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w:t>
      </w:r>
    </w:p>
    <w:p>
      <w:r>
        <w:t>- 10 - mai 2006 consid. 3.2.1). Ils peuvent cependant être considérés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septembre 2019/497 consid. 4.2 ; CACI 27 juillet 2011/175 et les réf. cit.).</w:t>
      </w:r>
    </w:p>
    <w:p>
      <w:r>
        <w:rPr>
          <w:b/>
        </w:rPr>
        <w:t>E. 4.3</w:t>
      </w:r>
    </w:p>
    <w:p>
      <w:r>
        <w:t>Il ne se justifie pas ici de prolonger ce délai, étant rappelé qu’une prolongation de bail est exclue en cas de résiliation due au retard dans le paiement d’un loyer dû (art. 272a al. 1 let. a CO). Quant aux motifs humanitaires évoqués par l’appelante, ils ne peuvent pas être pris en considération au stade de l’expulsion ; le cas échéant, ils devront être examinés dans le cadre de l’exécution forcée, étant relevé que le délai d’évacuation a été fixé à un mois, ce qui est conforme à la jurisprudence. Enfin, la locataire a bénéficié de facto d’un sursis supplémentaire en raison de l’effet suspensif de l’appel (art. 315 al. 1 CPC) ainsi que du fait qu’un nouveau délai de libération des locaux devra être fixé par le premier juge ensuite du rejet de l’appel. Le principe de la proportionnalité est ainsi largement respecté.</w:t>
      </w:r>
    </w:p>
    <w:p>
      <w:r>
        <w:rPr>
          <w:b/>
        </w:rPr>
        <w:t>E. 5</w:t>
      </w:r>
    </w:p>
    <w:p>
      <w:r>
        <w:t>En définitive, l'appel, manifestement mal fondé, doit être rejeté selon l'art. 312 al. 1 in fine CPC. Le délai de libération des locaux étant échu du fait de l'effet suspensif de l'appel (art. 315 al. 1 CPC), il convient de renvoyer la cause au premier juge pour qu'il fixe à l’appelante un nouveau délai pour libérer les locaux litigieux.</w:t>
      </w:r>
    </w:p>
    <w:p>
      <w:r>
        <w:rPr>
          <w:b/>
        </w:rPr>
        <w:t>E. 6</w:t>
      </w:r>
    </w:p>
    <w:p>
      <w:r>
        <w:t>Les frais judiciaires de deuxième instance, arrêtés à 200 fr. (art. 62 al. 3, 69 al. 1 TFJC [tarif des frais judiciaires en matière civile du 28 septembre 2010 ; BLV 270.11.5]), seront mis à la charge de l'appelante, qui succombe (art. 106 al. 1 CPC).</w:t>
      </w:r>
    </w:p>
    <w:p>
      <w:r>
        <w:t>- 11 - Il n'y a pas lieu d'allouer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