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JL21.010664 vom 4. August 2021</w:t>
      </w:r>
    </w:p>
    <w:p>
      <w:r>
        <w:t>VD Tribunal cantonal, 2021-08-04, FR</w:t>
      </w:r>
    </w:p>
    <w:p>
      <w:r>
        <w:rPr>
          <w:b/>
        </w:rPr>
        <w:t xml:space="preserve">Quelle: </w:t>
      </w:r>
      <w:r>
        <w:t>https://mcp.opencaselaw.ch/entscheid/vd_gerichte_JL21.010664</w:t>
      </w:r>
    </w:p>
    <w:p>
      <w:r>
        <w:t>FR: VD_GERICHTE JL21.010664 du 4 août 2021</w:t>
      </w:r>
    </w:p>
    <w:p>
      <w:r>
        <w:t>IT: VD_GERICHTE JL21.010664 del 4 agosto 2021</w:t>
      </w:r>
    </w:p>
    <w:p>
      <w:pPr>
        <w:pStyle w:val="Heading2"/>
      </w:pPr>
      <w:r>
        <w:t>Erwägungen</w:t>
      </w:r>
    </w:p>
    <w:p>
      <w:r>
        <w:rPr>
          <w:b/>
        </w:rPr>
        <w:t>E. 4.1</w:t>
      </w:r>
    </w:p>
    <w:p>
      <w:r>
        <w:t>L’appelant fait valoir que l’administrateur de l’intimée S.________SA, [...], serait atteint d’une maladie grave qui l’aurait empêché de gérer les affaires de la société. Il soutient que le juge de paix aurait dû lui désigner un curateur au sens de l’art. 69 CPC.</w:t>
      </w:r>
    </w:p>
    <w:p>
      <w:r>
        <w:t>- 8 -</w:t>
      </w:r>
    </w:p>
    <w:p>
      <w:r>
        <w:rPr>
          <w:b/>
        </w:rPr>
        <w:t>E. 4.2</w:t>
      </w:r>
    </w:p>
    <w:p>
      <w:r>
        <w:t>Selon l’art. 69 al. 1 CPC, si une partie est manifestement incapable de procéder elle-même, le tribunal peut l’inviter à commettre un représentant. Si la partie ne donne pas suite à cette injonction dans le délai imparti, le tribunal en désigne un. L'incapacité de procéder visée par l’art. 69 al. 1 CPC doit être manifeste et suppose que le justiciable se trouve dans l'incapacité totale de procéder sans l'assistance d'un avocat, de sorte que cette disposition doit être appliquée de manière restrictive. Lorsque le tribunal constate l'incapacité manifeste, il dispose encore d'une marge d'appréciation quant à l'opportunité de mettre en œuvre l'art. 69 al. 1 CPC (TF 5A_504/2018 du 25 juin 2018 consid. 4 ; TF 5A_541/2015 du 14 janvier 2016 consid. 4.1 et les réf. citées, RSPC 2016 p. 223).</w:t>
      </w:r>
    </w:p>
    <w:p>
      <w:r>
        <w:rPr>
          <w:b/>
        </w:rPr>
        <w:t>E. 4.3</w:t>
      </w:r>
    </w:p>
    <w:p>
      <w:r>
        <w:t>En l’espèce, la maladie grave alléguée par l’appelant n’est pas établie. Le dossier ne contient par ailleurs aucun élément qui permettrait de retenir que l’administrateur de l’intimée n’était pas apte à intervenir de manière autonome dans le cadre de la procédure engagée contre la société ou de désigner une personne pour la représenter. On ne saurait en particulier pas retenir l’existence d’une incapacité de procéder pour le seul motif que l’intéressé n’a pas retiré des plis qui étaient destinés à la société intimée et qu’il n’a pas comparu à l’audience. Le moyen doit donc être rejeté.</w:t>
      </w:r>
    </w:p>
    <w:p>
      <w:r>
        <w:rPr>
          <w:b/>
        </w:rPr>
        <w:t>E. 5.1</w:t>
      </w:r>
    </w:p>
    <w:p>
      <w:r>
        <w:t>; TF 4A_422/2020 précité consid. 4.1).</w:t>
      </w:r>
    </w:p>
    <w:p>
      <w:r>
        <w:rPr>
          <w:b/>
        </w:rPr>
        <w:t>E. 5.2</w:t>
      </w:r>
    </w:p>
    <w:p>
      <w:r>
        <w:t>; ATF 142 II 154 consid. 4.2). La motivation peut pour le reste être implicite et résulter des différents considérants de la décision (TF 5A_107/2019 précité consid. 2.1 ; TF 6B_649/2018 du 15 novembre 2018 consid. 1.1).</w:t>
      </w:r>
    </w:p>
    <w:p>
      <w:r>
        <w:t>- 17 -</w:t>
      </w:r>
    </w:p>
    <w:p>
      <w:r>
        <w:rPr>
          <w:b/>
        </w:rPr>
        <w:t>E. 5.2.1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 TF 4A_142/2020 du 3 septembre 2020 consid. 3.1). A l'inverse, le cas clair doit être retenu lorsque sont émises des objections manifestement mal fondées ou inconsistantes sur lesquelles il peut être statué immédiatement (ATF 138 III 620 consid. 5.1.1 ; TF</w:t>
      </w:r>
    </w:p>
    <w:p>
      <w:r>
        <w:t>- 10 - 4A_550/2020 précité consid. 5.1 ; TF 4A_422/2020 du 2 novembre 2020 consid. 4.1). Le fait pour le défendeur d’avancer des arguments sans proposer le moindre indice à leur appui et sans mentionner les preuves des moyens qu’il invoque ne remet pas en cause le cas clair (TF 4A_418/2014 du 18 août 2014 consid. 3 ; CACI 3 août 2016/432 ; CACI 4 mars 2014/98, CdB 201 p. 119 ; Bohnet, Le défendeur et le cas clair, in Newsletter bail.ch, décembre 2012 ; Bohnet, note in RSPC 2013 p. 140). Il ne suffit donc pas que le défendeur se limite à signaler les objections ou exceptions qui pourraient contredire la liquidité de la situation en fait et en droit, de telles exceptions devant être motivées et concluants (TF 5A_19/2015 du 27 juillet 2016 consid. 2.3.1). La situation juridique est claire lorsque l'application de la norme au cas concret s'impose de façon évidente au regard du texte légal ou sur la base d'une doctrine et d'une jurisprudence éprouvées (ATF 144 III 462 consid. 3.1 ; ATF 138 III 123 consid. 2.1.2 ; TF 4A_422/2020 précité consid. 4.1).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 2.1.2 ; TF 4A_550/2020 précité consid. 5.1).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réf. citées ; TF 4A_550/2020 précité consid.</w:t>
      </w:r>
    </w:p>
    <w:p>
      <w:r>
        <w:rPr>
          <w:b/>
        </w:rPr>
        <w:t>E. 5.2.2</w:t>
      </w:r>
    </w:p>
    <w:p>
      <w:r>
        <w:t>La procédure de protection dans les cas clairs est soumise à la procédure sommaire des art. 248 ss CPC, plus particulièrement aux art. 252 à 256 CPC. La maxime des débats est applicable (art. 55 al. 1 CPC), sauf dans les deux cas prévus par l'art. 255 CPC (lequel est réservé par</w:t>
      </w:r>
    </w:p>
    <w:p>
      <w:r>
        <w:t>- 11 - l'art. 55 al. 2 CPC), qui ne sont pas pertinents en l'espèce. Dans l'application de la maxime des débats, il y a toutefois lieu de tenir compte des spécificités de la procédure de protection dans les cas clairs, ainsi que de l'articulation des voies de droit (ATF 144 III 462 consid. 3.2 ; TF 4A_218/2017 du 14 juillet 2017 consid. 3.1). En première instance, la requête doit en règle générale être formée par écrit (art. 252 al. 2 CPC). La réponse devrait aussi, en dérogation à l'art. 253 CPC, être formulée par écrit ; si, exceptionnellement, la partie défenderesse ne dépose pas de réponse écrite et communique oralement sa réponse à l'audience, le juge de première instance doit au moins protocoler les conclusions, contestations, objections et exceptions que cette partie fait valoir, afin qu'il puisse être établi qu'elle a été entendue (art. 235 al. 1 let. d et al. 2 CPC par analogie). Lorsque la partie défenderesse ne comparaît pas à l'audience, le juge doit, sous réserve de l'art. 153 al. 2 CPC (administration des preuves d’office lorsqu’il existe des motifs sérieux de douter de la véracité d’un fait non contesté), statuer sur la base des actes du demandeur et du dossier (art. 234 CPC par analogie ; ATF 144 III 462 précité consid. 3.2.1 ; TF 4A_218/2017 précité consid. 3.1.1).</w:t>
      </w:r>
    </w:p>
    <w:p>
      <w:r>
        <w:rPr>
          <w:b/>
        </w:rPr>
        <w:t>E. 5.2.3</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L’action en contestation du congé formée par les locataires ne fait pas obstacle à l’action postérieure en expulsion selon l’art. 257 CPC, intentée par le bailleur (ATF 144 III 462 consid. 3.3.1).</w:t>
      </w:r>
    </w:p>
    <w:p>
      <w:r>
        <w:t>- 12 -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 ATF 141 III 262 consid. 3 ; TF 4A_550/2020 précité consid. 5.3 ; TF 4A_422/2020 précité consid. 4.3).</w:t>
      </w:r>
    </w:p>
    <w:p>
      <w:r>
        <w:rPr>
          <w:b/>
        </w:rPr>
        <w:t>E. 5.2.3.1</w:t>
      </w:r>
    </w:p>
    <w:p>
      <w:r>
        <w:t>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(Lachat/Stastny, Le bail à loyer, Lausanne 2019, n. 2.3.5 p. 879).</w:t>
      </w:r>
    </w:p>
    <w:p>
      <w:r>
        <w:t>- 13 -</w:t>
      </w:r>
    </w:p>
    <w:p>
      <w:r>
        <w:rPr>
          <w:b/>
        </w:rPr>
        <w:t>E. 5.2.3.2</w:t>
      </w:r>
    </w:p>
    <w:p>
      <w:r>
        <w:t>Le congé est annulable lorsqu’il contrevient aux règles de la bonne foi (art. 271 al. 1 CO). La jurisprudence admet que le congé prononcé conformément à l'art. 257d CO peut, à titre très exceptionnel, contrevenir aux règles de la bonne foi ; la notion doit être interprétée très restrictivement, afin de ne pas mettre en question le droit du bailleur à recevoir le loyer à l'échéance (ATF 140 III 591 consid. 1). L'annulation entre en considération notamment dans les cas suivants : le bailleur a réclamé au locataire, avec menace de résiliation du bail, une somme largement supérieure à celle en souffrance, alors qu'il n'était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 TF 4A_330/2017 du 8 février 2018 consid. 3.1) ; ou encore, l'arriéré est insignifiant, ou a été réglé très peu de temps après l'expiration du délai comminatoire, alors que le locataire s'était jusque-là toujours acquitté du loyer à temps ; ou enfin, le bailleur ne résilie le contrat que longtemps après l'expiration de ce même délai (ATF 120 II 31 consid. 4; TF 4A_549/2013 du 7 novembre 2013 consid. 4, SJ 2014 I 105, spéc. p. 107 ; TF 4A_641/2011 du 27 janvier 2012 consid. 7). Le fardeau de la preuve d'une résiliation contraire à la bonne foi incombe au locataire (ATF 140 III 591 consid. 1 et les réf. citées ; TF 4A_436/2018 précité consid. 5.1 ; TF 4A_571/2018 du 14 janvier 2019 consid. 9).</w:t>
      </w:r>
    </w:p>
    <w:p>
      <w:r>
        <w:rPr>
          <w:b/>
        </w:rPr>
        <w:t>E. 5.2.3.3</w:t>
      </w:r>
    </w:p>
    <w:p>
      <w:r>
        <w:t>L’art. 271a al. 1 let. a CO prévoit que le congé est annulable lorsque le bailleur le donne parce que le locataire fait valoir de bonne foi des prétentions découlant du bail. En principe, le congé donné en cas de demeure du locataire en application de la procédure prévue à l'art. 257d CO peut être annulé au motif qu'il constitue un congé de représailles au sens de l'art. 271a al. 1 let. a CO. Le Tribunal fédéral a toutefois eu l'occasion de préciser qu'il n'y a rien d'abusif à ce que le bailleur résilie le bail d'un locataire qui ne paie plus son loyer en application de l'art. 257d CO même s'il est en litige avec</w:t>
      </w:r>
    </w:p>
    <w:p>
      <w:r>
        <w:t>- 14 - ce dernier – que le litige ait ou non été porté devant l'autorité de conciliation ou judiciaire – et désire pour ce motif également mettre fin au contrat de bail. Ce n'est donc que dans des circonstances tout à fait exceptionnelles que l'on peut concevoir qu'un congé donné conformément à l'art. 257d CO puisse être annulable en vertu de l'art. 271a al. 1 let. a CO (TF 4A_468/2010 du 29 octobre 2010 consid. 2 et les réf. citées).</w:t>
      </w:r>
    </w:p>
    <w:p>
      <w:r>
        <w:rPr>
          <w:b/>
        </w:rPr>
        <w:t>E. 5.2.3.4</w:t>
      </w:r>
    </w:p>
    <w:p>
      <w:r>
        <w:t>Selon l’art. 272a let. c CO, aucune prolongation de bail n’est accordée lorsque le congé est donné en cas de demeure du locataire (art. 257d CO). Les règles sur la prolongation de bail sont de droit impératif (Lachat/Stastny, op. cit., n. 1.9 p. 995 et les réf. citées).</w:t>
      </w:r>
    </w:p>
    <w:p>
      <w:r>
        <w:rPr>
          <w:b/>
        </w:rPr>
        <w:t>E. 5.3</w:t>
      </w:r>
    </w:p>
    <w:p>
      <w:r>
        <w:t>En l’espèce, il n’est pas contesté que le congé a été signifié sur formule officielle aux deux colocataires après qu’ils ont été vainement mis en demeure de s’acquitter, dans un délai de 30 jours, des loyers contractuellement prévus pour les mois de novembre et décembre 2020. Il est vrai que la question de l’exigibilité du loyer des locaux commerciaux loués par des commerçants contraints de cesser leur activité sur ordre des autorités fait l’objet de débats nourris en doctrine (cf. notamment la contribution, citée par l’appelant, de Lachat et Brutschin, Le bail au temps du coronavirus in SJ 2020 II 111ss et les réf. citées). La question ne se pose toutefois que pour les locataires qui ont été obligés de fermer leur commerce ou dont l’activité a à tout le moins été fortement impactée à la suite des mesures décrétées par l’Etat. Or l’appelant n’a jamais allégué que l’activité commerciale déployée dans les locaux loués avait dû être interrompue ni même qu’elle avait été entravée à la suite des décisions prises par les autorités politiques. Il ne l’affirme d’ailleurs même pas clairement dans son appel. Au contraire, il déclare que c’est un « malencontreux concours de circonstances » qui a fait qu’ils n’ont pas payé les loyers de novembre et décembre 2020, parce qu’il n’était plus organe de la société intimée et que [...] était malade. On pourrait certes concevoir que la fermeture de certains commerces décrétée en raison de la pandémie, et notamment celle des restaurants, constitue un fait notoire. L’appelant n’allègue toutefois pas qu’un restaurant était exploité</w:t>
      </w:r>
    </w:p>
    <w:p>
      <w:r>
        <w:t>- 15 - dans les locaux en question. Le dossier ne contient d’ailleurs aucun élément suffisamment probant à ce sujet : le bail ne fournit aucune indication quant à la nature de l’activité commerciale exercée par les locataires. Si le but de S.________SA inscrit au registre du commerce inclut la restauration, il mentionne également le service de livraison à domicile, soit une activité qui n’a jamais été impactée par les mesures de restriction sanitaire. En d’autres termes, l’appelant ne fait pas valoir d’arguments qui permettraient de considérer qu’il se trouvait dans une situation où l’exigibilité du loyer convenu contractuellement pourrait être discutée. L’efficacité du congé donné en application de l’art. 257d CO n’est dès lors pas douteuse. Pour le reste, l’appelant ne prétend pas que l’on serait en présence d’une des situations exceptionnelles envisagées par la jurisprudence pour admettre l’annulation d’un congé donné pour non- paiement du loyer sur la base de l’art. 271 al. 1 CO. Aucun auteur ne soutient par ailleurs qu’une telle résiliation serait annulable du seul fait qu’elle a été signifiée en période de pandémie. L’appelant ne fait en outre valoir aucun argument sérieux qui permettrait d’envisager la possibilité d’une annulation du congé fondée sur l’art. 271a al. 1 let. a CO. L’annonce publiée sur le site ImmoScout24 portant sur la location d’une surface commerciale d’une pièce sise à l’avenue [...], avec la reprise d’un fonds de commerce pour 60'000 fr. ne constitue même pas un indice en ce sens, et ce d’autant moins qu’on ignore qui est l’auteur de cette publication. Enfin, et contrairement à ce que pense l’appelant, on peut également exclure toute possibilité que la commission de conciliation ou une autorité judiciaire lui octroie une prolongation de bail. Une telle prolongation est en effet exclue par une disposition impérative de la loi en cas de résiliation pour non-paiement du loyer (cf. art. 272a al. 1 let. a CO). Le fait que la formule officielle de notification de résiliation de bail utilisée – qui est la seule agréée par le canton de Vaud et dont le bailleur devait impérativement faire usage sous peine de nullité (art. 266o CO) – indique que le locataire peut demander la prolongation du bail ne signifie naturellement pas qu’elle pourra lui être octroyée par une autorité dans</w:t>
      </w:r>
    </w:p>
    <w:p>
      <w:r>
        <w:t>- 16 - les cas où la loi l’exclut impérativement. Le formulaire officiel renvoie d’ailleurs expressément aux art. 272 à 272c CO, soit également à la disposition exclusive de prolongation qu’est l’art. 272a CO. Il découle de ce qui précède que l’appelant ne fait valoir aucune objection sérieuse qui soit susceptible de remettre en cause le cas clair. Ses griefs doivent par conséquent être rejetés.</w:t>
      </w:r>
    </w:p>
    <w:p>
      <w:r>
        <w:rPr>
          <w:b/>
        </w:rPr>
        <w:t>E. 6.1</w:t>
      </w:r>
    </w:p>
    <w:p>
      <w:r>
        <w:t>L’appelant se plaint enfin d’une violation de son droit d’être entendu. Il reproche en particulier au premier juge de ne pas avoir évoqué dans son ordonnance la situation pandémique ni traité les avis de doctrine divisés contenus dans l’article de Lachat et Brutschin précité.</w:t>
      </w:r>
    </w:p>
    <w:p>
      <w:r>
        <w:rPr>
          <w:b/>
        </w:rPr>
        <w:t>E. 6.2</w:t>
      </w:r>
    </w:p>
    <w:p>
      <w:r>
        <w:t>Selon la jurisprudence, l'autorité qui ne traite pas un grief relevant de sa compétence, motivé de façon suffisante et pertinente pour l'issue du litige, commet un déni de justice formel proscrit par l'art. 29 al. 1 Cst. (ATF 141 V 557 consid. 3.2.1 ; ATF 136 I 6 consid. 2.1 ; TF 5A_30/2020 du 6 mai 2020 consid. 4.1 ; TF 5A_107/2019 du 19 juin 2019 consid. 2.1). De même, la jurisprudence a déduit du droit d'être entendu de l'art. 29 al. 2 Cst. l'obligation pour l'autorité de motiver sa décision, afin que l'intéressé puisse se rendre compte de la portée de celle-ci et l'attaquer en connaissance de cause (ATF 142 I 135 consid. 2.1 ; ATF 138 I 232 consid. 5.1 ; TF 5A_107/2019 précité consid. 2.1). La motivation d'une décision est suffisante lorsque l'autorité mentionne, au moins brièvement, les motifs qui l'ont guidé et sur lesquels elle a fondé son raisonnement. L'autorité ne doit toutefois pas se prononcer sur tous les moyens des parties ; elle peut se limiter aux questions décisives (ATF 143 III 65 consid.</w:t>
      </w:r>
    </w:p>
    <w:p>
      <w:r>
        <w:rPr>
          <w:b/>
        </w:rPr>
        <w:t>E. 6.3</w:t>
      </w:r>
    </w:p>
    <w:p>
      <w:r>
        <w:t>En l’espèce, l’appelant s’est déterminé à deux reprises par écrit devant l’autorité de première instance, par écritures des 26 avril et 7 mai 2021. S’agissant de la pandémie et de son impact sur la procédure en cas clair, il s’est borné à indiquer que « la situation du Covid-19 est une circonstance particulière rendant le cas tout sauf clair » (déterminations du 26 avril 2021, all. 10). Il ne ressort pas du dossier qu’il aurait été plus précis lors de l’audience du 10 mai 2021. Dès lors, et face à un grief aussi inconsistant, on ne saurait reprocher au juge de paix de ne pas s’être penché sur toutes les questions imaginables en lien avec la pandémie ni d’avoir traité la problématique soulevée par les auteurs de la contribution publiée dans la SJ 2020 II 111, qui n’avait d’ailleurs pas été citée par l’appelant avant le dépôt de son appel. Partant, le grief est infondé.</w:t>
      </w:r>
    </w:p>
    <w:p>
      <w:r>
        <w:rPr>
          <w:b/>
        </w:rPr>
        <w:t>E. 7</w:t>
      </w:r>
    </w:p>
    <w:p>
      <w:r>
        <w:t>Il s’ensuit que l’appel doit être rejeté dans la mesure où il est recevable (cf. supra consid. 3.2) et le dossier retourné au juge de paix afin qu’il fixe aux locataires un nouveau délai pour libérer les locaux litigieux. Les frais judiciaires de deuxième instance, arrêtés à 200 fr. (art. 62 al. 3 et 69 al. 1 TFJC [tarif des frais judiciaires civils du 28 septembre 2010 ; BLV 270.11.5]), seront mis à la charge de l’appelant, qui succombe (art. 106 al. 1 CPC). Vu le sort de l’appel, l’intimé B.________ a droit à de pleins dépens de deuxième instance, qui seront arrêtés à 1’125 fr. (art. 12 TDC [tarif des dépens en matière civile du 23 novembre 2010 ; BLV 270.11.6]).</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