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JL20.041180 vom 31. August 2021</w:t>
      </w:r>
    </w:p>
    <w:p>
      <w:r>
        <w:t>VD Tribunal cantonal, 2021-08-31, FR</w:t>
      </w:r>
    </w:p>
    <w:p>
      <w:r>
        <w:rPr>
          <w:b/>
        </w:rPr>
        <w:t xml:space="preserve">Quelle: </w:t>
      </w:r>
      <w:r>
        <w:t>https://mcp.opencaselaw.ch/entscheid/vd_gerichte_JL20.041180</w:t>
      </w:r>
    </w:p>
    <w:p>
      <w:r>
        <w:t>FR: VD_GERICHTE JL20.041180 du 31 août 2021</w:t>
      </w:r>
    </w:p>
    <w:p>
      <w:r>
        <w:t>IT: VD_GERICHTE JL20.041180 del 31 agosto 2021</w:t>
      </w:r>
    </w:p>
    <w:p>
      <w:pPr>
        <w:pStyle w:val="Heading2"/>
      </w:pPr>
      <w:r>
        <w:t>Erwägungen</w:t>
      </w:r>
    </w:p>
    <w:p>
      <w:r>
        <w:rPr>
          <w:b/>
        </w:rPr>
        <w:t>E. 1</w:t>
      </w:r>
    </w:p>
    <w:p>
      <w:r>
        <w:t>Par contrat de bail à loyer du 18 février 2016, la bailleresse K.________ a remis en location à B.________, avec effet au 15 mars 2016, un appartement de 3,5 pièces sis P.________. Le loyer mensuel a été initialement fixé à 1'280 fr., charges par 130 fr. comprises. Il a été augmenté à 1'291 fr., charges comprises, pour le 1er juin 2017.</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Cependant, lorsque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cas clair (art. 248 let. b CPC), le délai d'appel est de dix jours (art. 314 al. 1 CPC).</w:t>
      </w:r>
    </w:p>
    <w:p>
      <w:r>
        <w:rPr>
          <w:b/>
        </w:rPr>
        <w:t>E. 1.2</w:t>
      </w:r>
    </w:p>
    <w:p>
      <w:r>
        <w:t>En l’espèce, compte tenu d’un loyer mensuel de 1'291 fr., charges comprises, la valeur litigieuse, calculée selon les principes énoncés ci-dessus, est supérieure à 10'000 fr. (1'291 fr. x 12 mois x 3 ans), si bien que c’est la voie de l’appel qui est ouverte (art. 308 al. 2 CPC). Pour le surplus, formé en temps utile par une partie qui y a un intérêt (art. 59 al. 2 let. a CPC), l’appel est recevable. 2. L'appel peut être formé pour violation du droit ainsi que pour constatation inexacte des faits (art. 310 CPC). Cela étant, selon la</w:t>
      </w:r>
    </w:p>
    <w:p>
      <w:r>
        <w:t>- 6 -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w:t>
      </w:r>
    </w:p>
    <w:p>
      <w:r>
        <w:t>a) En juillet 2018, la locataire a, avec l’accord de la bailleresse, compensé le montant du loyer dû pour le mois de juillet 2018 avec un solde de décompte chauffage en sa faveur, de sorte qu’il lui restait un solde à payer de 208 fr. 70. Le 7 septembre 2018, la locataire a versé un montant de 208 fr. 70 à la bailleresse. b) Par courrier recommandé du 15 avril 2020, K.________ a mis en demeure la locataire de lui verser un montant de 2'381 fr. 45 – correspondant aux loyers impayés de mars 2020 et avril 2020 par 2'602 fr., plus les frais de mise en demeure par 107 fr. 70, sous déduction d’un montant de 328 fr. 25 libellé « vos acomptes » – dans un délai de 30 jours. Le délai de paiement était porté à 90 jours si le retard de loyer était « lié, en tout ou en partie, aux mesures ordonnées par les autorités pour lutter contre le COVID-19 », à charge pour la locataire de transmettre un justificatif attestant du lien de causalité entre le retard de versement et lesdites mesures. Il était précisé qu’à défaut de paiement dans le délai, le contrat de bail serait résilié de manière anticipée.</w:t>
      </w:r>
    </w:p>
    <w:p>
      <w:r>
        <w:t>- 4 - c) Le 27 avril 2020, la locataire s’est acquittée d’un montant de 1'301 francs. d) Par formule officielle du 25 mai 2020 adressée sous pli recommandé à la locataire, la bailleresse a signifié à celle-ci la résiliation du contrat de bail pour le 30 juin 2020.</w:t>
      </w:r>
    </w:p>
    <w:p>
      <w:r>
        <w:rPr>
          <w:b/>
        </w:rPr>
        <w:t>E. 3</w:t>
      </w:r>
    </w:p>
    <w:p>
      <w:r>
        <w:t>La locataire n’a pas libéré les locaux au 30 juin 2020.</w:t>
      </w:r>
    </w:p>
    <w:p>
      <w:r>
        <w:rPr>
          <w:b/>
        </w:rPr>
        <w:t>E. 3.1</w:t>
      </w:r>
    </w:p>
    <w:p>
      <w:r>
        <w:t>L’appelante soutient qu’au moment de l’envoi de l’avis du 15 avril 2020, elle n’était aucunement en demeure de paiement, l’intimée ayant omis de tenir compte du fait qu’elle avait compensé une part de loyer en juillet 2018 avec un solde d’acompte de chauffage, ce qui aurait décalé le décompte des loyers payés. Subsidiairement, l’appelante estime que les conditions du cas clair ne seraient pas réunies dans la mesure où les montants réclamés ne correspondent pas à la réalité et que l’intimée n’a en particulier pas expliqué à quoi correspondaient les acomptes de 328 fr. 25.</w:t>
      </w:r>
    </w:p>
    <w:p>
      <w:r>
        <w:rPr>
          <w:b/>
        </w:rPr>
        <w:t>E. 3.2</w:t>
      </w:r>
    </w:p>
    <w:p>
      <w:r>
        <w:t>; TF 4A_420/2012 du 7 novembre 2012 consid. 5 ; CACI 25 novembre 2020/540 consid. 2). 3.</w:t>
      </w:r>
    </w:p>
    <w:p>
      <w:r>
        <w:rPr>
          <w:b/>
        </w:rPr>
        <w:t>E. 3.2.1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w:t>
      </w:r>
    </w:p>
    <w:p>
      <w:r>
        <w:t>- 7 - consid. 5.1 et réf. cit.). Si en revanche l’une des conditions d’application de l’art. 257d CO n’est pas réalisée, le congé est inefficace (Lachat/Stastny, Le bail à loyer, Lausanne 2019, n. 2.3.5 p. 879).</w:t>
      </w:r>
    </w:p>
    <w:p>
      <w:r>
        <w:rPr>
          <w:b/>
        </w:rPr>
        <w:t>E. 3.2.2</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IIII 515 consid. 2.2.4 ; TF 4A_609/2020 du 26 mars</w:t>
      </w:r>
    </w:p>
    <w:p>
      <w:r>
        <w:t>- 8 - 2021 consid. 4 ; TF 4A_440/2016 du 24 octobre 2016 consid. 5.2.2 ; TF 4A_184/2015 du 11 août 2015 consid. 4.2.2, non publié à l’ATF 141 III 262 ; TF 4A_265/2013 du 8 juillet 2013 consid. 6 ; TF 4A_7/2012 du 3 avril 2012 consid. 2.5, RSPC 2012 p. 387 ; Colombini, op. cit., n. 5.5 ad art. 257 CPC).</w:t>
      </w:r>
    </w:p>
    <w:p>
      <w:r>
        <w:rPr>
          <w:b/>
        </w:rPr>
        <w:t>E. 3.3</w:t>
      </w:r>
    </w:p>
    <w:p>
      <w:r>
        <w:t>Il ressort des pièces au dossier que l’appelante a, avec l’accord de la bailleresse, compensé le montant du loyer dû pour le mois de juillet 2018 avec un solde de décompte chauffage en sa faveur, de sorte qu’il lui restait un solde à payer de 208 fr. 70, montant dont elle s’est acquitté le 7 septembre 2018. L’appelante rend vraisemblable que ce versement ne paraît pas avoir été pris en compte par l’intimée, ce qui a provoqué un décalage dans le compte locataire au nom de l’appelante. En effet, il appert que pour la période du 1er juin 2017 au 30 avril 2020, soit une période de 35 mois, 35 loyers ont été acquittés. Sur la base d’un examen prima facie, il semble qu’au jour de la mise en demeure du 15 avril 2020, seul un loyer était ouvert, celui-ci ayant finalement été acquitté le 27 avril 2020, à savoir dans le délai comminatoire. Par ailleurs, comme le relève l’appelante, on ignore à quoi correspond le montant de 328 fr. déduit des loyers dus et libellé « vos acomptes » dans la mise en demeure du 15 avril 2020. L’extrait du compte locataire fait état de loyers à concurrence de 1'291 fr. puis de 1'301 fr., ce dernier montant figurant également dans la mise en demeure, alors que l’intimée n’a allégué aucune hausse de loyer ni produit une pièce qui en attesterait. Le premier juge n’a pas non plus examiné la validité de l’avis du 15 avril 2020 s’agissant des frais de mise en demeure par 107 fr. 70, respectivement l’inefficacité de l’avis comminatoire pour la somme qui dépasse les loyers et frais accessoires réellement impayés (ATF 121 II 31 consid. 4b ; TF 4A_330/2017 du 8 février 2018 consid. 3.1 ; TF 4A_549/2013 du 7 novembre 2013 consid. 4). Quant au délai comminatoire, il prête aussi à confusion puisque la mise en demeure mentionne deux délais, soit un de trente jours et un autre de nonante</w:t>
      </w:r>
    </w:p>
    <w:p>
      <w:r>
        <w:t>- 9 - jours si le retard de loyer était « lié, en tout ou en partie, aux mesures ordonnées par les autorités pour lutter contre le COVID-19 », l’art. 2 Ordonnance COVID-19 bail à loyer et à ferme (RS 221.213.4) prévoyant que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Au vu de ce qui précède, en particulier de la compensation effectuée en juillet 2018, des chiffres figurant dans la mise en demeure et qui semblent s’écarter des montants effectivement dus et des loyers mentionnés dans le contrat de bail ainsi que du délai de 90 jours figurant dans la mise en demeure dont l’appelante se prévaut, on ne saurait considérer le cas comme étant clair, étant précisé que ces éléments sont rendus vraisemblables sur la base de pièces figurant au dossier de première instance. D’ailleurs, le premier juge avait lui-même suspendu la procédure pour une durée de deux mois afin de permettre aux parties de clarifier l’état de paiement des loyers mais n’avait finalement pas discuté des problématiques exposées ci-dessus.</w:t>
      </w:r>
    </w:p>
    <w:p>
      <w:r>
        <w:rPr>
          <w:b/>
        </w:rPr>
        <w:t>E. 4</w:t>
      </w:r>
    </w:p>
    <w:p>
      <w:r>
        <w:t>a) Par requête en cas clair déposée le 8 octobre 2020 auprès du juge de paix, K.________ a requis l’expulsion de B.________ des locaux objets du bail à loyer. b) Le 2 novembre 2020, la Présidente de la Commission de conciliation en matière de baux à loyer de Lausanne a informé le premier juge qu’elle avait été saisie d’une requête en annulation de congé déposée par B.________ contre K.________ et a indiqué qu’elle n’entendait pas examiner cette requête avant de connaître l’issue de la procédure d’expulsion pendante auprès du juge de paix. c) Une audience s’est tenue le 8 janvier 2021 en présence de [...] pour la bailleresse et de l’agent d’affaires breveté Julien Greub pour la locataire. A cette occasion, le premier juge a suspendu la procédure pour une durée de deux mois afin de permettre aux parties de clarifier l’état de paiement des loyers. d) Par courrier du 17 mars 2021, K.________ a produit notamment un décompte des loyers acquittés par B.________. Il ressort de l’extrait du compte locataire au nom de B.________ que celle-ci a versé un total de 35 loyers entre le 1er juin 2017 et le 30 avril 2020. En d roit :</w:t>
      </w:r>
    </w:p>
    <w:p>
      <w:r>
        <w:t>- 5 - 1.</w:t>
      </w:r>
    </w:p>
    <w:p>
      <w:r>
        <w:rPr>
          <w:b/>
        </w:rPr>
        <w:t>E. 4.1</w:t>
      </w:r>
    </w:p>
    <w:p>
      <w:r>
        <w:t>En définitive, l’appel doit être admis et l’ordonnance entreprise réformée en ce sens que la requête en cas clair tendant à l’expulsion de l’appelante déposée le 8 octobre 2020 par l’intimée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l’intimée qui succombe (art. 106 al. 1 CPC).</w:t>
      </w:r>
    </w:p>
    <w:p>
      <w:r>
        <w:t>- 10 - L’intimée devra en outre verser à l’appelante la somme de 400 fr. à titre de dépens de première instance (art. 11 TDC [tarif des dépens en matière civile du 23 novembre 2012 ; BLV 270.11.6]).</w:t>
      </w:r>
    </w:p>
    <w:p>
      <w:r>
        <w:rPr>
          <w:b/>
        </w:rPr>
        <w:t>E. 4.3</w:t>
      </w:r>
    </w:p>
    <w:p>
      <w:r>
        <w:t>Vu l’issue de l’appel, les frais judiciaires de deuxième instance, arrêtés à 200 fr. (art. 62 al. 1 et 3 et art. 69 TFJC), seront mis à la charge de l’intimée, qui succombe (art. 106 al. 1 CPC). L’intimée devra en outre verser à l’appelante de pleins dépens de deuxième instance, arrêtés à 600 fr. (art. 13 TDC par analogie). Par conséquent, l’intimée versera à l’appelante la somme de 800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