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JL20.034063 vom 23. November 2020</w:t>
      </w:r>
    </w:p>
    <w:p>
      <w:r>
        <w:t>VD Tribunal cantonal, 2020-11-23, FR</w:t>
      </w:r>
    </w:p>
    <w:p>
      <w:r>
        <w:rPr>
          <w:b/>
        </w:rPr>
        <w:t xml:space="preserve">Quelle: </w:t>
      </w:r>
      <w:r>
        <w:t>https://mcp.opencaselaw.ch/entscheid/vd_gerichte_JL20.034063</w:t>
      </w:r>
    </w:p>
    <w:p>
      <w:r>
        <w:t>FR: VD_GERICHTE JL20.034063 du 23 novembre 2020</w:t>
      </w:r>
    </w:p>
    <w:p>
      <w:r>
        <w:t>IT: VD_GERICHTE JL20.034063 del 23 novembre 2020</w:t>
      </w:r>
    </w:p>
    <w:p>
      <w:pPr>
        <w:pStyle w:val="Heading2"/>
      </w:pPr>
      <w:r>
        <w:t>Erwägungen</w:t>
      </w:r>
    </w:p>
    <w:p>
      <w:r>
        <w:rPr>
          <w:b/>
        </w:rPr>
        <w:t>E. 1</w:t>
      </w:r>
    </w:p>
    <w:p>
      <w:r>
        <w:t>Par contrat de sous-location du 1er décembre 2018, [...] a remis à bail à D.________, dès le 1er octobre 2018, un studio au 2e étage de l’immeuble sis rue du ...][...], pour un loyer mensuel net de 650 fr., auquel s’ajoutait des charges de 70 francs. Le contrat mentionne que le bailleur principal est la [...].</w:t>
      </w:r>
    </w:p>
    <w:p>
      <w:r>
        <w:rPr>
          <w:b/>
        </w:rPr>
        <w:t>E. 1.1</w:t>
      </w:r>
    </w:p>
    <w:p>
      <w:r>
        <w:t>Aux termes de l'art 319 let. a CPC, le recours est recevable contre les décisions finales, incidentes et provisionnelles de première</w:t>
      </w:r>
    </w:p>
    <w:p>
      <w:r>
        <w:t>- 4 - instance qui ne peuvent pas faire l'objet d'un appel. Dans les causes patrimoniales, la voie de l'appel est ouverte si la valeur litigieuse au dernier état des conclusions est supérieure à 10'000 fr. (art. 308 al. 2 CPC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w:t>
      </w:r>
    </w:p>
    <w:p>
      <w:r>
        <w:rPr>
          <w:b/>
        </w:rPr>
        <w:t>E. 1.2</w:t>
      </w:r>
    </w:p>
    <w:p>
      <w:r>
        <w:t>En l’occurrence, la valeur litigieuse est inférieure à 10'000 fr. au vu du montant du loyer échu et dû par le recourant, soit de 720 fr., de sorte que la voie du recours est ouverte. Déposé en temps utile par une partie qui y a un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w:t>
      </w:r>
    </w:p>
    <w:p>
      <w:r>
        <w:t>- 5 - constatation manifestement inexacte des faits se recoupant avec celui de l'arbitraire au sens de l'art. 9 de la Constitution fédérale (Jeandin, Commentaire romand, Code de procédure civile, Bâle 2019, 2e éd., nn. 4 et 5 ad art. 320 CPC et les réf. cit.). 3.</w:t>
      </w:r>
    </w:p>
    <w:p>
      <w:r>
        <w:rPr>
          <w:b/>
        </w:rPr>
        <w:t>E. 2</w:t>
      </w:r>
    </w:p>
    <w:p>
      <w:r>
        <w:t>Par courrier recommandé du 22 juin 2020, [...] a imparti à D.________ un délai de trente jours pour s’acquitter du loyer du mois de juin 2020, soit 720 fr., en l’avertissant qu’à défaut de paiement dans ce délai, le bail serait résilié.</w:t>
      </w:r>
    </w:p>
    <w:p>
      <w:r>
        <w:rPr>
          <w:b/>
        </w:rPr>
        <w:t>E. 3</w:t>
      </w:r>
    </w:p>
    <w:p>
      <w:r>
        <w:t>Par avis du 27 juillet 2020, faute de paiement dans le délai précité, le bail en cause a été résilié avec effet au 31 août 2020.</w:t>
      </w:r>
    </w:p>
    <w:p>
      <w:r>
        <w:rPr>
          <w:b/>
        </w:rPr>
        <w:t>E. 3.1.1</w:t>
      </w:r>
    </w:p>
    <w:p>
      <w:r>
        <w:t>Aux termes de l'art. 257d CO (Code des obligations du 30 mars 1911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 TF, arrêt du 27 février 1997 précité consid. 2b p. 68). Ils peuvent cependant être pris en compte au stade de l'exécution forcée, en application du principe général de la proportionnalité (Lachat, Le bail à loyer, Lausanne 2019, p. 1052, n. 7.6). Toutefois, dans tous les cas, l'ajournement de l'exécution forcée ne saurait être que relativement bref et ne doit pas équivaloir de fait à une</w:t>
      </w:r>
    </w:p>
    <w:p>
      <w:r>
        <w:t>- 6 - nouvelle prolongation de bail (ATF 117 la 336 consid. 2b). Selon la jurisprudence cantonale vaudoise, sauf cas particulier, un délai de libération des locaux de quinze à vingt jours est admissible (CACI 9 octobre 2018/567 ; CACI 12 août 2011/194 ; CACI 27 juillet 2011/175 et les réf. cit.).</w:t>
      </w:r>
    </w:p>
    <w:p>
      <w:r>
        <w:rPr>
          <w:b/>
        </w:rPr>
        <w:t>E. 3.1.2</w:t>
      </w:r>
    </w:p>
    <w:p>
      <w:r>
        <w:t>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w:t>
      </w:r>
    </w:p>
    <w:p>
      <w:r>
        <w:rPr>
          <w:b/>
        </w:rPr>
        <w:t>E. 3.2</w:t>
      </w:r>
    </w:p>
    <w:p>
      <w:r>
        <w:t>En l'espèce, le recourant ne soutient pas que la présente cause ne serait pas claire au sens de l’art. 257 al. 1 CPC. Il ne prétend pas non plus s’être acquitté du montant dû, soit 720 fr., dans le délai comminatoire. Au contraire, il explique avoir refusé de verser la somme à « l’ancienne propriétaire », dès lors « qu’elle n’était plus responsable du</w:t>
      </w:r>
    </w:p>
    <w:p>
      <w:r>
        <w:t>- 7 - studio et a[vait] résilié le contrat unilatéralement » et requiert qu’un délai au 1er mars 2021 lui soit imparti pour quitter les lieux, compte tenu de la situation sanitaire et de l’hiver qui approche. Les arguments avancés par le recourant ne sont pas pertinents, dès lors qu'il ne conteste pas ne pas avoir payé le loyer échu dans le délai comminatoire imparti et que cette seule circonstance justifie la résiliation. Il est par ailleurs observé que la Commission de conciliation n'a pas été saisie, le recourant n'ayant pas contesté la validité du congé, ce qui permet de faire l'économie de cette analyse à titre préjudiciel (CREC 3 mai 2019/244 consid. 3.2.4). On ajoutera encore qu'il n'y a pas lieu de tenir compte, à ce stade, d'éventuels motifs humanitaires, telles que les difficultés de relogement liées à l’actuelle crise sanitaire ou à l’hiver ; ceux-ci pourront éventuellement être pris en compte au stade de l'exécution forcée. En tout état de cause, le délai de libération des locaux de quatre semaines fixé par le premier juge est conforme à la jurisprudence citée ci-dessus. 4.</w:t>
      </w:r>
    </w:p>
    <w:p>
      <w:r>
        <w:rPr>
          <w:b/>
        </w:rPr>
        <w:t>E. 4</w:t>
      </w:r>
    </w:p>
    <w:p>
      <w:r>
        <w:t>D.________ n’a pas libéré les locaux le 31 août 2020.</w:t>
      </w:r>
    </w:p>
    <w:p>
      <w:r>
        <w:rPr>
          <w:b/>
        </w:rPr>
        <w:t>E. 4.1</w:t>
      </w:r>
    </w:p>
    <w:p>
      <w:r>
        <w:t>En définitive, le recours, manifestement infondé, doit être rejeté et l'ordonnance confirmée.</w:t>
      </w:r>
    </w:p>
    <w:p>
      <w:r>
        <w:rPr>
          <w:b/>
        </w:rPr>
        <w:t>E. 4.2</w:t>
      </w:r>
    </w:p>
    <w:p>
      <w:r>
        <w:t>Le présent arrêt sera rendu sans frais judiciaire de deuxième instance (art. 11 TFJC [Tarif des frais judiciaires civils du 28 septembre 2010 ; BLV 270.11.5]). Il n'y a pas lieu à l'allocation de dépens de deuxième instance dès lors que l'intimée n'a pas été invitée à déposer une réponse (art. 322 al. 1 in fine CPC).</w:t>
      </w:r>
    </w:p>
    <w:p>
      <w:r>
        <w:t>- 8 - Par ces motifs, la Chambre des recours civile du Tribunal cantonal, en application de l'art. 322 al. 1 CPC, prononce : I. Le recours est rejeté. II. L’ordonnance est confirmée. III. L’arrêt, rendu sans frais, est exécutoire. Le président : La greffière : Du L'arrêt qui précède, dont la rédaction a été approuvée à huis clos, est notifié à : - M. D.________ personnellement, - Mme Martine Schlaeppi, agent d’affaires breveté, pour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r>
        <w:rPr>
          <w:b/>
        </w:rPr>
        <w:t>E. 5</w:t>
      </w:r>
    </w:p>
    <w:p>
      <w:r>
        <w:t>Lors de l’audience du juge de paix du 26 octobre 2020, la conciliation a été tentée et les parties ont été entendues.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