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JL20.001111 vom 15. Juni 2020</w:t>
      </w:r>
    </w:p>
    <w:p>
      <w:r>
        <w:t>VD Tribunal cantonal, 2020-06-15, FR</w:t>
      </w:r>
    </w:p>
    <w:p>
      <w:r>
        <w:rPr>
          <w:b/>
        </w:rPr>
        <w:t xml:space="preserve">Quelle: </w:t>
      </w:r>
      <w:r>
        <w:t>https://mcp.opencaselaw.ch/entscheid/vd_gerichte_JL20.001111</w:t>
      </w:r>
    </w:p>
    <w:p>
      <w:r>
        <w:t>FR: VD_GERICHTE JL20.001111 du 15 juin 2020</w:t>
      </w:r>
    </w:p>
    <w:p>
      <w:r>
        <w:t>IT: VD_GERICHTE JL20.001111 del 15 giugno 2020</w:t>
      </w:r>
    </w:p>
    <w:p>
      <w:pPr>
        <w:pStyle w:val="Heading2"/>
      </w:pPr>
      <w:r>
        <w:t>Volltext</w:t>
      </w:r>
    </w:p>
    <w:p>
      <w:r>
        <w:t>TRIBUNAL CANTONAL JL20.001111-200838 139 CHAMBRE D E S RECOURS CIVIL E _________________________________________ Arrêt du 15 juin 2020 __________________ Composition : M. PELLET, président Mmes Crittin Dayen et Courbat, juges Greffier : M. Clerc ***** Art. 257d CO ; 126 CPC Statuant à huis clos sur le recours interjeté par S.________, à Lausanne, intimée, contre l’ordonnance d’expulsion rendue le 20 mai 2020 par la Juge de paix du district de Lausanne dans la cause divisant la recourante d’avec la R.________, à Lausanne, requérante, la Chambre des recours civile du Tribunal cantonal considère : 854</w:t>
      </w:r>
    </w:p>
    <w:p>
      <w:r>
        <w:t>- 2 - En fait : A. Par ordonnance d’expulsion du 20 mai 2020, adressée aux parties pour notification le 4 juin 2020, la Juge de paix du district de Lausanne (ci-après : la juge de paix ou le premier juge) a ordonné à la locataire intimée S.________ de quitter et rendre libres pour le 22 juin 2020 à midi les locaux occupés dans l’immeuble sis à la F.________ (appartement de 4 pièces au 5e étage avec une cave) (I), a réglé la question des frais et des dépens (II à IV) et a rejeté toutes autres ou plus amples conclusions (V). En droit, le premier juge, statuant sur la requête en cas clair déposée par la R.________ (ci-après : H.________) tendant à faire prononcer l’expulsion de S.________, a considéré en substance que la résiliation du bail pour défaut de paiement du loyer signifiée à la locataire avec effet au 31 décembre 2019 était valable, de sorte que les conditions du cas clair étaient réalisées et qu’il y avait lieu de faire droit à cette requête. B. Par acte du 11 juin 2020, posté le 13 juin 2020, S.________ a interjeté recours contre l’ordonnance précitée en requérant en substance son annulation et la suspension de la procédure au sens de l’art. 126 al. 2 CPC. Elle a produit huit pièces, dont deux ne figurent pas au dossier de première instance. H.________ n’a pas été invitée à déposer une réponse. C. La Chambre des recours civile fait sien dans son entier l'état de fait de l’ordonnance, complété par les pièces du dossier, dont il ressort notamment ce qui suit : 1. Le 31 mai 1994, la requérante H.________, en qualité de bailleresse, et l’intimée S.________, en qualité de locataire, ont conclu un</w:t>
      </w:r>
    </w:p>
    <w:p>
      <w:r>
        <w:t>- 3 - contrat de bail portant sur la location, dès le 1er juin 1994, d’un appartement de 4 pièces au 5e étage de l’immeuble sis F.________. Le loyer a été initialement fixé à 1'142 fr. par mois, plus 198 fr. d’acompte de frais accessoires, soit un total mensuel de 1'340 francs. Par la suite, le loyer a été réduit à 1'253 fr. par mois. 2. a) Par courrier recommandé du 17 septembre 2019, la requérante a constaté que l’intimée n’avait pas payé les loyers afférents aux mois de juillet à septembre 2019 pour un montant de 3'759 francs. Elle a informé la locataire que, faute pour celle-ci de s’acquitter de ladite somme dans un délai de trente jour, le bail serait résilié. b) Faute de paiement dans le délai de trente jours, la requérante a signifié à l’intimée, par avis du 14 novembre 2019, qu’elle résiliait le bail pour le 31 décembre 2019. 3. Par requête en cas clair du 9 janvier 2020, la H.________ a conclu à l’expulsion de l’intimée des locaux occupés. La juge de paix a tenu une audience le 20 mai 2020 en présence des parties. En d roit : 1. 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w:t>
      </w:r>
    </w:p>
    <w:p>
      <w:r>
        <w:t>- 4 -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1.2 En l’occurrence, le recours, déposé en temps utile par une partie qui y a intérêt (art. 59 al. 2 let. a CPC), dans une cause dont la valeur litigieuse est inférieure à 10'000 fr., au vu du montant du loyer mensuel brut, est recevable. 2. 2.1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Les conclusions, les allégations de faits et les preuves nouvelles sont irrecevables en procédure de recours (art. 326 al. 1 CPC).</w:t>
      </w:r>
    </w:p>
    <w:p>
      <w:r>
        <w:t>- 5 - 2.2 La recourante a produit huit pièces. Parmi celles-ci, la décision de l’Office AI du 17 mai 2019 et l’attestation du même office du 10 février 2020 ne figurent pas au dossier de première instance et sont donc irrecevables. 3. 3.1 3.1.1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w:t>
      </w:r>
    </w:p>
    <w:p>
      <w:r>
        <w:t>- 6 -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réf. cit.). Cette jurisprudence garde sa pertinence sous l'empire du CPC (CACI 8 août 2019/228 consid. 3.1.1 ; CACI 12 août 2011/194 ; CACI 27 juillet 2011/175). 3.1.2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3.2 En l’espèce, la recourante fait valoir qu’elle serait à l’AI depuis le mois de juin 2019 et que le revenu d’insertion, qui s’acquittait de son loyer, aurait interrompu les versements, ce qu’elle n’aurait découvert que trop tard. Elle indique vivre dans l’appartement avec trois de ses huit enfants et qu’un déménagement serait catastrophique pour elle et en particulier pour l’une de ses filles « qui souffre d’hypertension et divers problèmes de santé », ce d’autant plus compte tenu des « circonstances épidémiques et économiques ». Les arguments avancés par la recourante – au demeurant non prouvés – pour justifier le défaut de paiement ne sont pas pertinents, dès lors qu’elle ne conteste pas ne pas avoir payé les loyers échus dans le délai comminatoire imparti et que cette seule circonstance justifie la résiliation. Il est par ailleurs observé que la Commission de conciliation n'a pas été saisie, la recourante n'ayant pas contesté la validité du congé, ce qui permet de faire l'économie de cette analyse à titre préjudiciel (CREC 3 mai 2019/244 consid. 3.2.4).</w:t>
      </w:r>
    </w:p>
    <w:p>
      <w:r>
        <w:t>- 7 - Enfin, il n’y a pas lieu à ce stade de prendre en compte d’éventuels motifs humanitaires. Dans tous les cas, on relève que la lettre de mise en demeure date du 17 septembre 2019 tandis que la résiliation du bail est parvenue à la recourante par courrier du 14 novembre 2019, ce qui lui a laissé suffisamment de temps pour s’organiser. Le délai accordé par le premier juge pour libérer les locaux, soit plus de quinze jours, est raisonnable au sens de la jurisprudence évoquée ci-dessus. Au demeurant, les arguments que la recourante fait valoir à titre de motifs humanitaires constituent des allégations nouvelles irrecevables en procédure de recours selon l’art. 326 CPC (cf. consid. 2.1 supra). 4. 4.1 Selon l’art. 126 CPC, le tribunal peut ordonner la suspension de la procédure si des motifs d’opportunité le commandent. La procédure peut notamment être suspendue lorsque la décision dépend du sort d’un autre procès. La suspension peut intervenir d’office ou sur requête en tout état de cause, savoir dès la conciliation et jusque et y compris en instance de recours et quelle que soit la procédure applicable. La suspension doit en outre être compatible avec le principe constitutionnel de célérité (art. 29 al. 1 Cst). Lorsqu’il s’agit d’attendre le résultat d’un autre procès, il suffit que l’on puisse attendre de cette issue qu’elle facilite de façon significative la procédure à suspendre (Colombini, Code de procédure civile, Condensé de jurisprudence fédérale et vaudoise, Lausanne 2018, n. 3.3 ad art. 126 CPC et réf. cit.). 4.2 En l’espèce, la recourante a requis la suspension de la procédure « au sens de l’art. 126 al. 2 [CPC] ». Elle semble fonder cette requête sur le fait qu’elle attend une décision relative au versement rétroactif des allocations familiales de la caisse de chômage de l’UNIA et qu’elle aurait demandé un avis aux débiteurs s’agissant des pensions dues par son ex-mari. Toutefois, la recourante ne prouve pas que des procédures auraient effectivement été ouvertes dans ce sens. Au contraire, elle</w:t>
      </w:r>
    </w:p>
    <w:p>
      <w:r>
        <w:t>- 8 - demande à la Chambre de céans de « bien vouloir faire le nécessaire auprès de la caisse de chômage UNIA et ainsi que l’employeur de [son] ex- mari », ce qui démontre qu’aucune démarche n’a été introduite. Dans tous les cas, même si de telles procédures étaient effectivement en cours, elles ne justifieraient pas la suspension de la présente cause puisqu’elles ne permettraient pas de renverser l’appréciation ci-dessus, à savoir que le simple fait que les loyers échus n’aient pas été payés dans le délai comminatoire suffit à fonder la résiliation (cf. consid. 3.2). La requête de suspension doit être rejetée. 5. En définitive, le recours, manifestement infondé, doit être rejeté et l’ordonnance confirmée. A considérer la requête de suspension « au sens de l’art. 126 al. 2 [CPC] » comme une requête d’effet suspensif, celle-ci devient sans objet compte tenu de l’issue de la procédure de recours. Le présent arrêt peut être rendu sans frais (art. 10 TFJC [Tarif des frais judiciaires civils du 28 septembre 2010 ; BLV 270.11.5]). Il n'y a pas lieu à l'allocation de dépens de deuxième instance dès lors que l'intimée n'a pas été invitée à se déterminer (art. 322 al. 1 in fine CPC). Par ces motifs, la Chambre des recours civile du Tribunal cantonal, en application de l'art. 322 al. 1 CPC, prononce : I. La requête de suspension de cause est rejetée.</w:t>
      </w:r>
    </w:p>
    <w:p>
      <w:r>
        <w:t>- 9 - II. Le recours est rejeté. III. L’ordonnance est confirmée. IV. La requête d’effet suspensif est sans objet. V. L’arrêt, rendu sans frais, est exécutoire. Le président : Le greffier : Du L'arrêt qui précède, dont la rédaction a été approuvée à huis clos, est notifié à : - S.________, -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